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934CE6">
        <w:rPr>
          <w:b/>
          <w:bCs/>
          <w:sz w:val="22"/>
          <w:szCs w:val="22"/>
          <w:u w:val="single"/>
        </w:rPr>
        <w:t>445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BE420E">
        <w:rPr>
          <w:b/>
          <w:bCs/>
          <w:sz w:val="22"/>
          <w:szCs w:val="22"/>
          <w:u w:val="single"/>
        </w:rPr>
        <w:t>3</w:t>
      </w:r>
      <w:r w:rsidR="00934CE6">
        <w:rPr>
          <w:b/>
          <w:bCs/>
          <w:sz w:val="22"/>
          <w:szCs w:val="22"/>
          <w:u w:val="single"/>
        </w:rPr>
        <w:t>1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934CE6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934CE6">
        <w:rPr>
          <w:b/>
          <w:noProof/>
        </w:rPr>
        <w:t>GILCEA ALVES VIVIANI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934CE6">
        <w:rPr>
          <w:b/>
          <w:noProof/>
        </w:rPr>
        <w:t>2197-0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</w:t>
      </w:r>
      <w:r w:rsidR="00331CBD">
        <w:rPr>
          <w:b/>
          <w:noProof/>
        </w:rPr>
        <w:t>I</w:t>
      </w:r>
      <w:r>
        <w:rPr>
          <w:b/>
          <w:noProof/>
        </w:rPr>
        <w:t xml:space="preserve">I </w:t>
      </w:r>
      <w:r w:rsidR="00934CE6">
        <w:rPr>
          <w:b/>
          <w:noProof/>
        </w:rPr>
        <w:t>06</w:t>
      </w:r>
      <w:r>
        <w:rPr>
          <w:b/>
          <w:noProof/>
        </w:rPr>
        <w:t xml:space="preserve"> </w:t>
      </w:r>
      <w:r w:rsidR="00934CE6">
        <w:rPr>
          <w:b/>
          <w:noProof/>
        </w:rPr>
        <w:t>MAG</w:t>
      </w:r>
      <w:r>
        <w:rPr>
          <w:b/>
          <w:noProof/>
        </w:rPr>
        <w:t xml:space="preserve"> </w:t>
      </w:r>
      <w:r w:rsidR="00BE420E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934CE6">
        <w:rPr>
          <w:noProof/>
        </w:rPr>
        <w:t>363</w:t>
      </w:r>
      <w:r>
        <w:rPr>
          <w:noProof/>
        </w:rPr>
        <w:t>/20</w:t>
      </w:r>
      <w:r w:rsidR="00660F9C">
        <w:rPr>
          <w:noProof/>
        </w:rPr>
        <w:t>1</w:t>
      </w:r>
      <w:r w:rsidR="00934CE6">
        <w:rPr>
          <w:noProof/>
        </w:rPr>
        <w:t>9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  <w:bookmarkStart w:id="0" w:name="_GoBack"/>
      <w:bookmarkEnd w:id="0"/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934CE6">
        <w:rPr>
          <w:b/>
          <w:noProof/>
        </w:rPr>
        <w:t>GILCEA ALVES VIVIANI</w:t>
      </w:r>
      <w:r w:rsidR="00331CBD">
        <w:rPr>
          <w:b/>
          <w:noProof/>
        </w:rPr>
        <w:t>,</w:t>
      </w:r>
      <w:r w:rsidR="005817B5">
        <w:rPr>
          <w:b/>
          <w:noProof/>
        </w:rPr>
        <w:t xml:space="preserve"> </w:t>
      </w:r>
      <w:r>
        <w:rPr>
          <w:noProof/>
        </w:rPr>
        <w:t xml:space="preserve">Matrícula </w:t>
      </w:r>
      <w:r w:rsidR="00934CE6">
        <w:rPr>
          <w:noProof/>
        </w:rPr>
        <w:t>2197-0</w:t>
      </w:r>
      <w:r>
        <w:rPr>
          <w:noProof/>
        </w:rPr>
        <w:t>, ocupante do Cargo de Professor I</w:t>
      </w:r>
      <w:r w:rsidR="00331CBD">
        <w:rPr>
          <w:noProof/>
        </w:rPr>
        <w:t>I</w:t>
      </w:r>
      <w:r>
        <w:rPr>
          <w:noProof/>
        </w:rPr>
        <w:t xml:space="preserve"> </w:t>
      </w:r>
      <w:r w:rsidR="00934CE6">
        <w:rPr>
          <w:noProof/>
        </w:rPr>
        <w:t>06</w:t>
      </w:r>
      <w:r>
        <w:rPr>
          <w:noProof/>
        </w:rPr>
        <w:t xml:space="preserve"> </w:t>
      </w:r>
      <w:r w:rsidR="00934CE6">
        <w:rPr>
          <w:noProof/>
        </w:rPr>
        <w:t>MAG</w:t>
      </w:r>
      <w:r>
        <w:rPr>
          <w:noProof/>
        </w:rPr>
        <w:t xml:space="preserve"> </w:t>
      </w:r>
      <w:r w:rsidR="00BE420E">
        <w:rPr>
          <w:noProof/>
        </w:rPr>
        <w:t>2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934CE6">
        <w:rPr>
          <w:noProof/>
        </w:rPr>
        <w:t>363</w:t>
      </w:r>
      <w:r>
        <w:rPr>
          <w:noProof/>
        </w:rPr>
        <w:t>/20</w:t>
      </w:r>
      <w:r w:rsidR="00660F9C">
        <w:rPr>
          <w:noProof/>
        </w:rPr>
        <w:t>1</w:t>
      </w:r>
      <w:r w:rsidR="00934CE6">
        <w:rPr>
          <w:noProof/>
        </w:rPr>
        <w:t>9</w:t>
      </w:r>
      <w:r>
        <w:rPr>
          <w:noProof/>
        </w:rPr>
        <w:t xml:space="preserve">, devido a contar de </w:t>
      </w:r>
      <w:r w:rsidR="00331CBD">
        <w:rPr>
          <w:noProof/>
        </w:rPr>
        <w:t>0</w:t>
      </w:r>
      <w:r w:rsidR="00934CE6">
        <w:rPr>
          <w:noProof/>
        </w:rPr>
        <w:t>6</w:t>
      </w:r>
      <w:r>
        <w:rPr>
          <w:noProof/>
        </w:rPr>
        <w:t>/</w:t>
      </w:r>
      <w:r w:rsidR="00A241F6">
        <w:rPr>
          <w:noProof/>
        </w:rPr>
        <w:t>0</w:t>
      </w:r>
      <w:r w:rsidR="00934CE6">
        <w:rPr>
          <w:noProof/>
        </w:rPr>
        <w:t>4</w:t>
      </w:r>
      <w:r>
        <w:rPr>
          <w:noProof/>
        </w:rPr>
        <w:t>/20</w:t>
      </w:r>
      <w:r w:rsidR="00BE420E">
        <w:rPr>
          <w:noProof/>
        </w:rPr>
        <w:t>0</w:t>
      </w:r>
      <w:r w:rsidR="00934CE6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BE420E">
        <w:rPr>
          <w:rFonts w:ascii="Times New Roman" w:hAnsi="Times New Roman" w:cs="Times New Roman"/>
        </w:rPr>
        <w:t>3</w:t>
      </w:r>
      <w:r w:rsidR="00934CE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de </w:t>
      </w:r>
      <w:r w:rsidR="00934CE6">
        <w:rPr>
          <w:rFonts w:ascii="Times New Roman" w:hAnsi="Times New Roman" w:cs="Times New Roman"/>
        </w:rPr>
        <w:t>maio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744" w:rsidRDefault="00405744" w:rsidP="003620ED">
      <w:r>
        <w:separator/>
      </w:r>
    </w:p>
  </w:endnote>
  <w:endnote w:type="continuationSeparator" w:id="0">
    <w:p w:rsidR="00405744" w:rsidRDefault="0040574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744" w:rsidRDefault="00405744" w:rsidP="003620ED">
      <w:r>
        <w:separator/>
      </w:r>
    </w:p>
  </w:footnote>
  <w:footnote w:type="continuationSeparator" w:id="0">
    <w:p w:rsidR="00405744" w:rsidRDefault="0040574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057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292B80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-74295</wp:posOffset>
              </wp:positionV>
              <wp:extent cx="4937125" cy="1122680"/>
              <wp:effectExtent l="2540" t="1905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2680"/>
                        <a:chOff x="1285" y="420"/>
                        <a:chExt cx="7775" cy="1768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CE6" w:rsidRPr="00934CE6" w:rsidRDefault="00934CE6" w:rsidP="00934CE6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34C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934CE6" w:rsidRPr="00934CE6" w:rsidRDefault="00934CE6" w:rsidP="00934CE6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34C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934CE6" w:rsidRPr="00934CE6" w:rsidRDefault="00934CE6" w:rsidP="00934C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4CE6">
                              <w:rPr>
                                <w:b/>
                                <w:sz w:val="28"/>
                                <w:szCs w:val="28"/>
                              </w:rPr>
                              <w:t>Gabinete do Prefeito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67" cy="1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CE6" w:rsidRDefault="00292B80" w:rsidP="00934C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28700"/>
                                  <wp:effectExtent l="0" t="0" r="0" b="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5.85pt;width:388.75pt;height:88.4pt;z-index:251661312" coordorigin="1285,420" coordsize="7775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6vNAMAAO8JAAAOAAAAZHJzL2Uyb0RvYy54bWzsVm1v0zAQ/o7Ef7D8vcvL0qaJliG20Qlp&#10;wCTgB7iJk1gkdrDdpQPx3zmf065sCBAIEBL9kNo+5/zcc/dcfPJk23fkhmsjlCxodBRSwmWpKiGb&#10;gr59s5otKTGWyYp1SvKC3nJDn5w+fnQyDjmPVau6imsCTqTJx6GgrbVDHgSmbHnPzJEauARjrXTP&#10;LEx1E1SajeC974I4DBfBqHQ1aFVyY2D1whvpKfqva17aV3VtuCVdQQGbxafG59o9g9MTljeaDa0o&#10;JxjsJ1D0TEg4dO/qgllGNlo8cNWLUiujantUqj5QdS1KjjFANFF4L5pLrTYDxtLkYzPsaQJq7/H0&#10;027LlzfXmogKckeJZD2kCE8liaNmHJocdlzq4fVwrX18MLxS5TsD5uC+3c0bv5msxxeqAndsYxVS&#10;s61171xA0GSLGbjdZ4BvLSlhMcmO0yieU1KCLYrieLGcclS2kEj3XhQvwQ7mJN6bnk2vp2m6ezdd&#10;LF0EAcv9uYh1wuYCg3Izd4yaX2P0dcsGjokyjq+J0XjH6BsX3pnakrknFTc5RondwrLj3hFjPLFE&#10;qvOWyYY/1VqNLWcVoIswGAcb/PtkuIlxTr7H9DEQiYylcwTA8h3d8ywBfSLXxyHa9nyxfNDGXnLV&#10;EzcoqAYtIUx2c2Wsp3a3BdGrTlQr0XU40c36vNPkhoHuVvibsmEOt3XSbZbKveY9+hXAB2c4m0OK&#10;OvqYRXESnsXZbLVYprNklcxnWRouZ2GUnWWLMMmSi9UnBzBK8lZUFZdXQvKdpqPkxzI8dRevRlQ1&#10;GQuazaEmMa5D9OYwyBB/XwuyFxZaXCf6gi73m1juEvtMVhA2yy0TnR8HX8LHAgYOdv/ICpSyz7yv&#10;Y7tdb8GLW1yr6hYKQivIF3Q76MswaJX+QMkIPa6g5v2GaU5J91xCUWVRkrimiJNknoKgiD60rA8t&#10;TJbgqqCWEj88t76RbgYtmhZO8mUs1VOQfC2wRu5QYbtA1f0h+R0/kN/ir8jvYcPayS9KF+kkv/vt&#10;6r/8wuDfkd/0Af1RFUq4Cv1eDZrBaXD1LQ3iBxFuFdhaphuQu7YczlGzd/e0088AAAD//wMAUEsD&#10;BBQABgAIAAAAIQAomsKS4QAAAAsBAAAPAAAAZHJzL2Rvd25yZXYueG1sTI/BSsNAEIbvgu+wjOCt&#10;3aw1qcZsSinqqRRsBfE2TaZJaHY3ZLdJ+vaOJ73NMB//fH+2mkwrBup946wGNY9AkC1c2dhKw+fh&#10;bfYEwge0JbbOkoYreVjltzcZpqUb7QcN+1AJDrE+RQ11CF0qpS9qMujnriPLt5PrDQZe+0qWPY4c&#10;blr5EEWJNNhY/lBjR5uaivP+YjS8jziuF+p12J5Pm+v3Id59bRVpfX83rV9ABJrCHwy/+qwOOTsd&#10;3cWWXrQaZo8qYZQHpZYgmFgu4mcQR0aTWIHMM/m/Q/4DAAD//wMAUEsBAi0AFAAGAAgAAAAhALaD&#10;OJL+AAAA4QEAABMAAAAAAAAAAAAAAAAAAAAAAFtDb250ZW50X1R5cGVzXS54bWxQSwECLQAUAAYA&#10;CAAAACEAOP0h/9YAAACUAQAACwAAAAAAAAAAAAAAAAAvAQAAX3JlbHMvLnJlbHNQSwECLQAUAAYA&#10;CAAAACEAhjFerzQDAADvCQAADgAAAAAAAAAAAAAAAAAuAgAAZHJzL2Uyb0RvYy54bWxQSwECLQAU&#10;AAYACAAAACEAKJrCkuEAAAALAQAADwAAAAAAAAAAAAAAAACOBQAAZHJzL2Rvd25yZXYueG1sUEsF&#10;BgAAAAAEAAQA8wAAAJ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934CE6" w:rsidRPr="00934CE6" w:rsidRDefault="00934CE6" w:rsidP="00934CE6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34C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934CE6" w:rsidRPr="00934CE6" w:rsidRDefault="00934CE6" w:rsidP="00934CE6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34C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934CE6" w:rsidRPr="00934CE6" w:rsidRDefault="00934CE6" w:rsidP="00934C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4CE6">
                        <w:rPr>
                          <w:b/>
                          <w:sz w:val="28"/>
                          <w:szCs w:val="28"/>
                        </w:rPr>
                        <w:t>Gabinete do Prefeito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67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934CE6" w:rsidRDefault="00292B80" w:rsidP="00934CE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28700"/>
                            <wp:effectExtent l="0" t="0" r="0" b="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3620ED" w:rsidRDefault="00405744" w:rsidP="003620ED">
    <w:pPr>
      <w:pStyle w:val="Cabealho"/>
      <w:ind w:left="-1701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057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83E31"/>
    <w:rsid w:val="000844A3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2B80"/>
    <w:rsid w:val="00294D49"/>
    <w:rsid w:val="002A61FD"/>
    <w:rsid w:val="002C1B79"/>
    <w:rsid w:val="002C3E0F"/>
    <w:rsid w:val="002C5609"/>
    <w:rsid w:val="0031041F"/>
    <w:rsid w:val="00331CBD"/>
    <w:rsid w:val="003428CB"/>
    <w:rsid w:val="00351568"/>
    <w:rsid w:val="00352367"/>
    <w:rsid w:val="0036121A"/>
    <w:rsid w:val="003620ED"/>
    <w:rsid w:val="00367B02"/>
    <w:rsid w:val="003B716F"/>
    <w:rsid w:val="003C411B"/>
    <w:rsid w:val="003D2C60"/>
    <w:rsid w:val="003F2DB1"/>
    <w:rsid w:val="003F422C"/>
    <w:rsid w:val="00402402"/>
    <w:rsid w:val="00405744"/>
    <w:rsid w:val="00406F64"/>
    <w:rsid w:val="00407509"/>
    <w:rsid w:val="00421382"/>
    <w:rsid w:val="00425957"/>
    <w:rsid w:val="00426029"/>
    <w:rsid w:val="004326CD"/>
    <w:rsid w:val="004752D6"/>
    <w:rsid w:val="0047721F"/>
    <w:rsid w:val="00486718"/>
    <w:rsid w:val="004B32EC"/>
    <w:rsid w:val="004D09DD"/>
    <w:rsid w:val="004E099E"/>
    <w:rsid w:val="00501706"/>
    <w:rsid w:val="00510175"/>
    <w:rsid w:val="005443E3"/>
    <w:rsid w:val="005817B5"/>
    <w:rsid w:val="005957A0"/>
    <w:rsid w:val="005A1150"/>
    <w:rsid w:val="005A78FF"/>
    <w:rsid w:val="005B1296"/>
    <w:rsid w:val="005B7A34"/>
    <w:rsid w:val="005E59A3"/>
    <w:rsid w:val="005F22A8"/>
    <w:rsid w:val="00631A43"/>
    <w:rsid w:val="0063457A"/>
    <w:rsid w:val="00660F9C"/>
    <w:rsid w:val="006665C8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3026A"/>
    <w:rsid w:val="0075402E"/>
    <w:rsid w:val="00775B99"/>
    <w:rsid w:val="00783C3B"/>
    <w:rsid w:val="007D05B0"/>
    <w:rsid w:val="007D0EAD"/>
    <w:rsid w:val="007F1241"/>
    <w:rsid w:val="007F684E"/>
    <w:rsid w:val="00821DB7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34CE6"/>
    <w:rsid w:val="00962E50"/>
    <w:rsid w:val="009645DE"/>
    <w:rsid w:val="0097196D"/>
    <w:rsid w:val="00972FAC"/>
    <w:rsid w:val="009846BF"/>
    <w:rsid w:val="00985E6F"/>
    <w:rsid w:val="009E355A"/>
    <w:rsid w:val="009E4BF3"/>
    <w:rsid w:val="00A152F7"/>
    <w:rsid w:val="00A241F6"/>
    <w:rsid w:val="00A4600E"/>
    <w:rsid w:val="00A46B92"/>
    <w:rsid w:val="00A60091"/>
    <w:rsid w:val="00A729F4"/>
    <w:rsid w:val="00A76D87"/>
    <w:rsid w:val="00A80F33"/>
    <w:rsid w:val="00A8431D"/>
    <w:rsid w:val="00A87F89"/>
    <w:rsid w:val="00AA17EC"/>
    <w:rsid w:val="00AA3175"/>
    <w:rsid w:val="00AB008F"/>
    <w:rsid w:val="00B17969"/>
    <w:rsid w:val="00B2717E"/>
    <w:rsid w:val="00B357A5"/>
    <w:rsid w:val="00B83D97"/>
    <w:rsid w:val="00B974A0"/>
    <w:rsid w:val="00BA006F"/>
    <w:rsid w:val="00BA1298"/>
    <w:rsid w:val="00BA4581"/>
    <w:rsid w:val="00BC563D"/>
    <w:rsid w:val="00BE420E"/>
    <w:rsid w:val="00BF444E"/>
    <w:rsid w:val="00C2576B"/>
    <w:rsid w:val="00C545FC"/>
    <w:rsid w:val="00C57C53"/>
    <w:rsid w:val="00C71E72"/>
    <w:rsid w:val="00C77B87"/>
    <w:rsid w:val="00CB213D"/>
    <w:rsid w:val="00CC15A7"/>
    <w:rsid w:val="00CC252F"/>
    <w:rsid w:val="00D00EE5"/>
    <w:rsid w:val="00D10CA5"/>
    <w:rsid w:val="00D60469"/>
    <w:rsid w:val="00D97160"/>
    <w:rsid w:val="00DA46AF"/>
    <w:rsid w:val="00DD3C31"/>
    <w:rsid w:val="00DE6EBA"/>
    <w:rsid w:val="00E42889"/>
    <w:rsid w:val="00E42A97"/>
    <w:rsid w:val="00E45A32"/>
    <w:rsid w:val="00E535DB"/>
    <w:rsid w:val="00E6536E"/>
    <w:rsid w:val="00E65947"/>
    <w:rsid w:val="00E65DC6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76BCA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F6F6D06-DECC-484D-8F59-819A386C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93B4A-38AB-473F-8506-3F72C211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2019-07-01T18:37:00Z</dcterms:created>
  <dcterms:modified xsi:type="dcterms:W3CDTF">2019-07-01T18:37:00Z</dcterms:modified>
</cp:coreProperties>
</file>