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9E" w:rsidRPr="00804844" w:rsidRDefault="002463C8" w:rsidP="00804844">
      <w:pPr>
        <w:ind w:left="-284"/>
        <w:jc w:val="center"/>
        <w:rPr>
          <w:b/>
          <w:szCs w:val="24"/>
          <w:u w:val="single"/>
        </w:rPr>
      </w:pPr>
      <w:bookmarkStart w:id="0" w:name="_GoBack"/>
      <w:bookmarkEnd w:id="0"/>
      <w:r w:rsidRPr="002463C8">
        <w:rPr>
          <w:b/>
          <w:szCs w:val="24"/>
          <w:u w:val="single"/>
        </w:rPr>
        <w:t xml:space="preserve">PORTARIA Nº </w:t>
      </w:r>
      <w:r>
        <w:rPr>
          <w:b/>
          <w:szCs w:val="24"/>
          <w:u w:val="single"/>
        </w:rPr>
        <w:t>0</w:t>
      </w:r>
      <w:r w:rsidR="00804844">
        <w:rPr>
          <w:b/>
          <w:szCs w:val="24"/>
          <w:u w:val="single"/>
        </w:rPr>
        <w:t>67</w:t>
      </w:r>
      <w:r w:rsidRPr="002463C8">
        <w:rPr>
          <w:b/>
          <w:szCs w:val="24"/>
          <w:u w:val="single"/>
        </w:rPr>
        <w:t xml:space="preserve"> - DE </w:t>
      </w:r>
      <w:r w:rsidR="00431626">
        <w:rPr>
          <w:b/>
          <w:szCs w:val="24"/>
          <w:u w:val="single"/>
        </w:rPr>
        <w:t>1</w:t>
      </w:r>
      <w:r w:rsidR="00804844">
        <w:rPr>
          <w:b/>
          <w:szCs w:val="24"/>
          <w:u w:val="single"/>
        </w:rPr>
        <w:t>8</w:t>
      </w:r>
      <w:r w:rsidRPr="002463C8">
        <w:rPr>
          <w:b/>
          <w:szCs w:val="24"/>
          <w:u w:val="single"/>
        </w:rPr>
        <w:t xml:space="preserve"> DE </w:t>
      </w:r>
      <w:r w:rsidR="00431626">
        <w:rPr>
          <w:b/>
          <w:szCs w:val="24"/>
          <w:u w:val="single"/>
        </w:rPr>
        <w:t>FEVER</w:t>
      </w:r>
      <w:r w:rsidR="00F1599E">
        <w:rPr>
          <w:b/>
          <w:szCs w:val="24"/>
          <w:u w:val="single"/>
        </w:rPr>
        <w:t>EIRO</w:t>
      </w:r>
      <w:r w:rsidRPr="002463C8">
        <w:rPr>
          <w:b/>
          <w:szCs w:val="24"/>
          <w:u w:val="single"/>
        </w:rPr>
        <w:t xml:space="preserve"> DE 201</w:t>
      </w:r>
      <w:r w:rsidR="00804844">
        <w:rPr>
          <w:b/>
          <w:szCs w:val="24"/>
          <w:u w:val="single"/>
        </w:rPr>
        <w:t>9</w:t>
      </w:r>
    </w:p>
    <w:p w:rsidR="002463C8" w:rsidRPr="002463C8" w:rsidRDefault="008002EB" w:rsidP="00005F98">
      <w:pPr>
        <w:shd w:val="clear" w:color="auto" w:fill="FFFFFF"/>
        <w:tabs>
          <w:tab w:val="left" w:leader="underscore" w:pos="7690"/>
        </w:tabs>
        <w:spacing w:before="240"/>
        <w:ind w:left="3686"/>
        <w:jc w:val="center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</w:rPr>
        <w:t>REVOGA PORTARIA</w:t>
      </w:r>
      <w:r w:rsidR="00804844">
        <w:rPr>
          <w:b/>
          <w:i/>
          <w:color w:val="000000"/>
          <w:spacing w:val="-2"/>
          <w:w w:val="104"/>
          <w:szCs w:val="24"/>
        </w:rPr>
        <w:t>S</w:t>
      </w:r>
      <w:r w:rsidR="00005F98">
        <w:rPr>
          <w:b/>
          <w:i/>
          <w:color w:val="000000"/>
          <w:spacing w:val="-2"/>
          <w:w w:val="104"/>
          <w:szCs w:val="24"/>
        </w:rPr>
        <w:t xml:space="preserve"> E DÁ OUTRAS PROVIDÊNCIAS </w:t>
      </w:r>
    </w:p>
    <w:p w:rsidR="002463C8" w:rsidRPr="008002EB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  <w:lang w:val="pt-PT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804844">
      <w:pPr>
        <w:ind w:left="-284" w:firstLine="710"/>
        <w:jc w:val="both"/>
        <w:rPr>
          <w:sz w:val="16"/>
          <w:szCs w:val="16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804844" w:rsidRPr="00804844" w:rsidRDefault="00804844" w:rsidP="00804844">
      <w:pPr>
        <w:ind w:left="-284" w:firstLine="710"/>
        <w:jc w:val="both"/>
        <w:rPr>
          <w:szCs w:val="24"/>
        </w:rPr>
      </w:pPr>
    </w:p>
    <w:p w:rsidR="00804844" w:rsidRPr="00804844" w:rsidRDefault="00804844" w:rsidP="00804844">
      <w:pPr>
        <w:ind w:left="-284" w:firstLine="710"/>
        <w:jc w:val="both"/>
        <w:rPr>
          <w:szCs w:val="24"/>
        </w:rPr>
      </w:pPr>
      <w:r w:rsidRPr="00804844">
        <w:rPr>
          <w:b/>
          <w:szCs w:val="24"/>
        </w:rPr>
        <w:t>Considerando</w:t>
      </w:r>
      <w:r>
        <w:rPr>
          <w:szCs w:val="24"/>
        </w:rPr>
        <w:t xml:space="preserve"> o dispõe o Inciso V, do Artigo 73, da Lei Federal 9.504/1997; o § 1º e § 2º, do Artigo 53; Artigo 54; Artigo 55; Incisos VI e VII, do Artigo 174; Incisos III, IV, XXI, do Artigo 175; Artigo 176; º 1º do Artigo 177; Artigo 178; Artigo 179 e Artigo 180, todos da Lei Municipal 548, de 08 de julho de 1986 (Estatuto dos Servidores);</w:t>
      </w:r>
    </w:p>
    <w:p w:rsidR="00431626" w:rsidRPr="00804844" w:rsidRDefault="00431626" w:rsidP="00804844">
      <w:pPr>
        <w:ind w:left="-284" w:firstLine="710"/>
        <w:jc w:val="both"/>
        <w:rPr>
          <w:sz w:val="16"/>
          <w:szCs w:val="16"/>
        </w:rPr>
      </w:pPr>
    </w:p>
    <w:p w:rsidR="00431626" w:rsidRPr="002463C8" w:rsidRDefault="00431626" w:rsidP="00804844">
      <w:pPr>
        <w:ind w:left="-284" w:firstLine="710"/>
        <w:jc w:val="both"/>
        <w:rPr>
          <w:szCs w:val="24"/>
        </w:rPr>
      </w:pPr>
      <w:r w:rsidRPr="00431626">
        <w:rPr>
          <w:b/>
          <w:szCs w:val="24"/>
        </w:rPr>
        <w:t>Considerando</w:t>
      </w:r>
      <w:r>
        <w:rPr>
          <w:szCs w:val="24"/>
        </w:rPr>
        <w:t>, o que restou provado no</w:t>
      </w:r>
      <w:r w:rsidR="00804844">
        <w:rPr>
          <w:szCs w:val="24"/>
        </w:rPr>
        <w:t>s</w:t>
      </w:r>
      <w:r>
        <w:rPr>
          <w:szCs w:val="24"/>
        </w:rPr>
        <w:t xml:space="preserve"> Processo</w:t>
      </w:r>
      <w:r w:rsidR="00804844">
        <w:rPr>
          <w:szCs w:val="24"/>
        </w:rPr>
        <w:t>s</w:t>
      </w:r>
      <w:r>
        <w:rPr>
          <w:szCs w:val="24"/>
        </w:rPr>
        <w:t xml:space="preserve"> Administrativo</w:t>
      </w:r>
      <w:r w:rsidR="00804844">
        <w:rPr>
          <w:szCs w:val="24"/>
        </w:rPr>
        <w:t>s</w:t>
      </w:r>
      <w:r>
        <w:rPr>
          <w:szCs w:val="24"/>
        </w:rPr>
        <w:t xml:space="preserve"> nº </w:t>
      </w:r>
      <w:r w:rsidR="00804844">
        <w:rPr>
          <w:szCs w:val="24"/>
        </w:rPr>
        <w:t>3.4458/2018; 31.40</w:t>
      </w:r>
      <w:r w:rsidR="002B2DC1">
        <w:rPr>
          <w:szCs w:val="24"/>
        </w:rPr>
        <w:t>1</w:t>
      </w:r>
      <w:r w:rsidR="00804844">
        <w:rPr>
          <w:szCs w:val="24"/>
        </w:rPr>
        <w:t xml:space="preserve">/2018; </w:t>
      </w:r>
      <w:r w:rsidR="002B2DC1">
        <w:rPr>
          <w:szCs w:val="24"/>
        </w:rPr>
        <w:t>31.403/2018 e 45.21/2018,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F1599E" w:rsidRPr="002B2DC1" w:rsidRDefault="002463C8" w:rsidP="002B2DC1">
      <w:pPr>
        <w:shd w:val="clear" w:color="auto" w:fill="FFFFFF"/>
        <w:spacing w:before="240"/>
        <w:ind w:left="-284" w:right="-91" w:firstLine="710"/>
        <w:jc w:val="both"/>
        <w:rPr>
          <w:szCs w:val="24"/>
        </w:rPr>
      </w:pPr>
      <w:r w:rsidRPr="002463C8">
        <w:rPr>
          <w:b/>
          <w:szCs w:val="24"/>
        </w:rPr>
        <w:t>I –</w:t>
      </w:r>
      <w:r w:rsidR="00005F98">
        <w:rPr>
          <w:b/>
          <w:szCs w:val="24"/>
        </w:rPr>
        <w:t xml:space="preserve"> </w:t>
      </w:r>
      <w:r w:rsidR="0026090F">
        <w:rPr>
          <w:b/>
          <w:szCs w:val="24"/>
        </w:rPr>
        <w:t xml:space="preserve">REVOGAR </w:t>
      </w:r>
      <w:r w:rsidR="0026090F">
        <w:rPr>
          <w:szCs w:val="24"/>
        </w:rPr>
        <w:t>a</w:t>
      </w:r>
      <w:r w:rsidR="002B2DC1">
        <w:rPr>
          <w:szCs w:val="24"/>
        </w:rPr>
        <w:t>s</w:t>
      </w:r>
      <w:r w:rsidR="0026090F">
        <w:rPr>
          <w:szCs w:val="24"/>
        </w:rPr>
        <w:t xml:space="preserve"> Portaria</w:t>
      </w:r>
      <w:r w:rsidR="002B2DC1">
        <w:rPr>
          <w:szCs w:val="24"/>
        </w:rPr>
        <w:t>s</w:t>
      </w:r>
      <w:r w:rsidR="0026090F">
        <w:rPr>
          <w:szCs w:val="24"/>
        </w:rPr>
        <w:t xml:space="preserve"> nº </w:t>
      </w:r>
      <w:r w:rsidR="002B2DC1">
        <w:rPr>
          <w:szCs w:val="24"/>
        </w:rPr>
        <w:t>335/2015; 802/2016; 2002/2016; 2.071/2016 e 2.105/206, ficando as mesmas de fato e de direito sem valor legal.</w:t>
      </w:r>
    </w:p>
    <w:p w:rsidR="002463C8" w:rsidRPr="002463C8" w:rsidRDefault="0022235A" w:rsidP="00804844">
      <w:pPr>
        <w:shd w:val="clear" w:color="auto" w:fill="FFFFFF"/>
        <w:tabs>
          <w:tab w:val="left" w:pos="1450"/>
        </w:tabs>
        <w:spacing w:before="240"/>
        <w:ind w:left="-284" w:right="-91" w:firstLine="710"/>
        <w:jc w:val="both"/>
        <w:rPr>
          <w:color w:val="000000"/>
          <w:spacing w:val="2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>I</w:t>
      </w:r>
      <w:r w:rsidR="00F1599E">
        <w:rPr>
          <w:b/>
          <w:color w:val="000000"/>
          <w:spacing w:val="2"/>
          <w:w w:val="104"/>
          <w:szCs w:val="24"/>
        </w:rPr>
        <w:t>I</w:t>
      </w:r>
      <w:r w:rsidR="002463C8" w:rsidRPr="002463C8">
        <w:rPr>
          <w:b/>
          <w:color w:val="000000"/>
          <w:spacing w:val="2"/>
          <w:w w:val="104"/>
          <w:szCs w:val="24"/>
        </w:rPr>
        <w:t xml:space="preserve"> </w:t>
      </w:r>
      <w:r w:rsidR="002463C8"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="002463C8"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="002463C8" w:rsidRPr="002463C8">
        <w:rPr>
          <w:szCs w:val="24"/>
          <w:lang w:val="pt-PT"/>
        </w:rPr>
        <w:t xml:space="preserve"> 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2B2DC1">
        <w:rPr>
          <w:color w:val="000000"/>
          <w:spacing w:val="6"/>
          <w:w w:val="104"/>
          <w:szCs w:val="24"/>
          <w:lang w:val="pt-PT"/>
        </w:rPr>
        <w:t>expedição das Portarias acima mencionadas</w:t>
      </w:r>
      <w:r w:rsidR="00F1599E">
        <w:rPr>
          <w:color w:val="000000"/>
          <w:spacing w:val="2"/>
          <w:w w:val="104"/>
          <w:szCs w:val="24"/>
          <w:lang w:val="pt-PT"/>
        </w:rPr>
        <w:t>,</w:t>
      </w:r>
      <w:r w:rsidR="002B2DC1">
        <w:rPr>
          <w:color w:val="000000"/>
          <w:spacing w:val="2"/>
          <w:w w:val="104"/>
          <w:szCs w:val="24"/>
          <w:lang w:val="pt-PT"/>
        </w:rPr>
        <w:t xml:space="preserve"> </w:t>
      </w:r>
      <w:r w:rsidR="00F1599E">
        <w:rPr>
          <w:color w:val="000000"/>
          <w:spacing w:val="2"/>
          <w:w w:val="104"/>
          <w:szCs w:val="24"/>
          <w:lang w:val="pt-PT"/>
        </w:rPr>
        <w:t>revogadas disposições, em contrário.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F1599E">
        <w:rPr>
          <w:szCs w:val="24"/>
        </w:rPr>
        <w:t>1</w:t>
      </w:r>
      <w:r w:rsidR="002B2DC1">
        <w:rPr>
          <w:szCs w:val="24"/>
        </w:rPr>
        <w:t>8</w:t>
      </w:r>
      <w:r w:rsidRPr="002463C8">
        <w:rPr>
          <w:szCs w:val="24"/>
        </w:rPr>
        <w:t xml:space="preserve"> de </w:t>
      </w:r>
      <w:r w:rsidR="00431626">
        <w:rPr>
          <w:szCs w:val="24"/>
        </w:rPr>
        <w:t>fevereiro</w:t>
      </w:r>
      <w:r w:rsidRPr="002463C8">
        <w:rPr>
          <w:szCs w:val="24"/>
        </w:rPr>
        <w:t xml:space="preserve"> de 201</w:t>
      </w:r>
      <w:r w:rsidR="00F1599E">
        <w:rPr>
          <w:szCs w:val="24"/>
        </w:rPr>
        <w:t>9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Pr="002463C8" w:rsidRDefault="00D244D1" w:rsidP="00D244D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C0" w:rsidRDefault="00D443C0" w:rsidP="003620ED">
      <w:r>
        <w:separator/>
      </w:r>
    </w:p>
  </w:endnote>
  <w:endnote w:type="continuationSeparator" w:id="0">
    <w:p w:rsidR="00D443C0" w:rsidRDefault="00D443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C0" w:rsidRDefault="00D443C0" w:rsidP="003620ED">
      <w:r>
        <w:separator/>
      </w:r>
    </w:p>
  </w:footnote>
  <w:footnote w:type="continuationSeparator" w:id="0">
    <w:p w:rsidR="00D443C0" w:rsidRDefault="00D443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43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3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43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F98"/>
    <w:rsid w:val="000969DE"/>
    <w:rsid w:val="000C2E0D"/>
    <w:rsid w:val="00152005"/>
    <w:rsid w:val="001C4613"/>
    <w:rsid w:val="001D547B"/>
    <w:rsid w:val="0022235A"/>
    <w:rsid w:val="00231885"/>
    <w:rsid w:val="00244EDB"/>
    <w:rsid w:val="002463C8"/>
    <w:rsid w:val="0026090F"/>
    <w:rsid w:val="00294D49"/>
    <w:rsid w:val="002B2DC1"/>
    <w:rsid w:val="00306502"/>
    <w:rsid w:val="00351568"/>
    <w:rsid w:val="003620ED"/>
    <w:rsid w:val="003832A5"/>
    <w:rsid w:val="0042478E"/>
    <w:rsid w:val="00426029"/>
    <w:rsid w:val="00431626"/>
    <w:rsid w:val="004E099E"/>
    <w:rsid w:val="004E61B8"/>
    <w:rsid w:val="00544E6A"/>
    <w:rsid w:val="00592AB0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30A40"/>
    <w:rsid w:val="0077045C"/>
    <w:rsid w:val="0077568A"/>
    <w:rsid w:val="00775B99"/>
    <w:rsid w:val="00783C3B"/>
    <w:rsid w:val="007D05B0"/>
    <w:rsid w:val="007E5644"/>
    <w:rsid w:val="007F1241"/>
    <w:rsid w:val="008002EB"/>
    <w:rsid w:val="00804844"/>
    <w:rsid w:val="00821DB7"/>
    <w:rsid w:val="008C43D3"/>
    <w:rsid w:val="009E355A"/>
    <w:rsid w:val="00A152F7"/>
    <w:rsid w:val="00A76D87"/>
    <w:rsid w:val="00A87F89"/>
    <w:rsid w:val="00A97240"/>
    <w:rsid w:val="00AD3289"/>
    <w:rsid w:val="00AF2177"/>
    <w:rsid w:val="00B47816"/>
    <w:rsid w:val="00C607CD"/>
    <w:rsid w:val="00D11504"/>
    <w:rsid w:val="00D244D1"/>
    <w:rsid w:val="00D443C0"/>
    <w:rsid w:val="00D60469"/>
    <w:rsid w:val="00EF3269"/>
    <w:rsid w:val="00EF3472"/>
    <w:rsid w:val="00F05BC2"/>
    <w:rsid w:val="00F1599E"/>
    <w:rsid w:val="00F20711"/>
    <w:rsid w:val="00F4259F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37FD09-EF2E-4482-BB13-21FA9246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2018-03-07T16:27:00Z</cp:lastPrinted>
  <dcterms:created xsi:type="dcterms:W3CDTF">2019-03-07T18:57:00Z</dcterms:created>
  <dcterms:modified xsi:type="dcterms:W3CDTF">2019-03-07T18:57:00Z</dcterms:modified>
</cp:coreProperties>
</file>