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12" w:rsidRPr="00AE390C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AE390C">
        <w:rPr>
          <w:rFonts w:ascii="Times New Roman" w:hAnsi="Times New Roman" w:cs="Times New Roman"/>
          <w:b/>
          <w:sz w:val="20"/>
          <w:szCs w:val="20"/>
          <w:u w:val="single"/>
        </w:rPr>
        <w:t xml:space="preserve">PORTARIA Nº </w:t>
      </w:r>
      <w:r w:rsidR="00AE390C">
        <w:rPr>
          <w:rFonts w:ascii="Times New Roman" w:hAnsi="Times New Roman" w:cs="Times New Roman"/>
          <w:b/>
          <w:sz w:val="20"/>
          <w:szCs w:val="20"/>
          <w:u w:val="single"/>
        </w:rPr>
        <w:t>400</w:t>
      </w:r>
      <w:r w:rsidRPr="00AE390C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</w:t>
      </w:r>
      <w:r w:rsidR="002C5609" w:rsidRPr="00AE390C">
        <w:rPr>
          <w:rFonts w:ascii="Times New Roman" w:hAnsi="Times New Roman" w:cs="Times New Roman"/>
          <w:b/>
          <w:sz w:val="20"/>
          <w:szCs w:val="20"/>
          <w:u w:val="single"/>
        </w:rPr>
        <w:t>01</w:t>
      </w:r>
      <w:r w:rsidRPr="00AE390C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</w:t>
      </w:r>
      <w:r w:rsidR="002C5609" w:rsidRPr="00AE390C">
        <w:rPr>
          <w:rFonts w:ascii="Times New Roman" w:hAnsi="Times New Roman" w:cs="Times New Roman"/>
          <w:b/>
          <w:sz w:val="20"/>
          <w:szCs w:val="20"/>
          <w:u w:val="single"/>
        </w:rPr>
        <w:t>SETEMBRO</w:t>
      </w:r>
      <w:r w:rsidRPr="00AE390C">
        <w:rPr>
          <w:rFonts w:ascii="Times New Roman" w:hAnsi="Times New Roman" w:cs="Times New Roman"/>
          <w:b/>
          <w:sz w:val="20"/>
          <w:szCs w:val="20"/>
          <w:u w:val="single"/>
        </w:rPr>
        <w:t xml:space="preserve"> DE 2017</w:t>
      </w:r>
    </w:p>
    <w:p w:rsidR="00AE390C" w:rsidRPr="004821D3" w:rsidRDefault="00AE390C" w:rsidP="00AE390C">
      <w:pPr>
        <w:tabs>
          <w:tab w:val="left" w:pos="-1920"/>
        </w:tabs>
        <w:ind w:left="-284"/>
        <w:jc w:val="center"/>
        <w:rPr>
          <w:b/>
          <w:bCs/>
          <w:sz w:val="20"/>
        </w:rPr>
      </w:pPr>
      <w:r w:rsidRPr="004821D3">
        <w:rPr>
          <w:b/>
          <w:bCs/>
          <w:sz w:val="20"/>
        </w:rPr>
        <w:t>RETIFICA A PORTARIA Nº 288 DE 24 DE MARÇO DE 2011, QUE RETIFICOU A PORTARIA Nº 342 DE 23 DE AGOSTO DE 2010, QUE APOSENTOU POR INVALIDEZ COM PROVENTOS INTEGRAIS A SERVIDORA MUNICIPAL CATIA REGINA ANDRADE SILVA, MATRÍCULA 1205-1, CLASSE C, NO CARGO DE PROFESSOR II 17 SUP, E MATRÍCULA 2667-0 NO CARGO DE PROFESSOR II 16 SUP – QUADRO PERMANENTE.</w:t>
      </w:r>
    </w:p>
    <w:p w:rsidR="00AE390C" w:rsidRPr="004821D3" w:rsidRDefault="00AE390C" w:rsidP="00AE390C">
      <w:pPr>
        <w:ind w:left="-284"/>
        <w:jc w:val="both"/>
        <w:rPr>
          <w:b/>
          <w:bCs/>
          <w:sz w:val="20"/>
        </w:rPr>
      </w:pPr>
    </w:p>
    <w:p w:rsidR="00AE390C" w:rsidRPr="004821D3" w:rsidRDefault="00AE390C" w:rsidP="00AE390C">
      <w:pPr>
        <w:ind w:left="-284" w:firstLine="710"/>
        <w:jc w:val="both"/>
        <w:rPr>
          <w:sz w:val="20"/>
        </w:rPr>
      </w:pPr>
      <w:r w:rsidRPr="004821D3">
        <w:rPr>
          <w:b/>
          <w:bCs/>
          <w:sz w:val="20"/>
        </w:rPr>
        <w:t xml:space="preserve">A </w:t>
      </w:r>
      <w:r w:rsidRPr="00AE390C">
        <w:rPr>
          <w:b/>
          <w:bCs/>
          <w:iCs/>
          <w:sz w:val="20"/>
        </w:rPr>
        <w:t>PREFEITA DE ARARUAMA</w:t>
      </w:r>
      <w:r w:rsidRPr="004821D3">
        <w:rPr>
          <w:b/>
          <w:bCs/>
          <w:sz w:val="20"/>
        </w:rPr>
        <w:t xml:space="preserve">, </w:t>
      </w:r>
      <w:r w:rsidRPr="004821D3">
        <w:rPr>
          <w:sz w:val="20"/>
        </w:rPr>
        <w:t>no uso de suas atribuições e competência conferidas por Lei, considerando o contido nos autos do Processo Administrativo IBASMA nº 296/2010, e TCE/RJ nº 209.861-6/2011</w:t>
      </w:r>
    </w:p>
    <w:p w:rsidR="00AE390C" w:rsidRPr="004821D3" w:rsidRDefault="00AE390C" w:rsidP="00AE390C">
      <w:pPr>
        <w:ind w:left="-284" w:firstLine="710"/>
        <w:jc w:val="both"/>
        <w:rPr>
          <w:sz w:val="20"/>
        </w:rPr>
      </w:pPr>
    </w:p>
    <w:p w:rsidR="00AE390C" w:rsidRPr="004821D3" w:rsidRDefault="00AE390C" w:rsidP="00AE390C">
      <w:pPr>
        <w:ind w:left="-284"/>
        <w:jc w:val="center"/>
        <w:rPr>
          <w:b/>
          <w:sz w:val="20"/>
        </w:rPr>
      </w:pPr>
      <w:r w:rsidRPr="004821D3">
        <w:rPr>
          <w:b/>
          <w:sz w:val="20"/>
        </w:rPr>
        <w:t>RESOLVE:</w:t>
      </w:r>
    </w:p>
    <w:p w:rsidR="00AE390C" w:rsidRPr="004821D3" w:rsidRDefault="00AE390C" w:rsidP="00AE390C">
      <w:pPr>
        <w:ind w:left="-284" w:firstLine="710"/>
        <w:jc w:val="center"/>
        <w:rPr>
          <w:b/>
          <w:sz w:val="20"/>
        </w:rPr>
      </w:pPr>
    </w:p>
    <w:p w:rsidR="00AE390C" w:rsidRPr="00AE390C" w:rsidRDefault="00AE390C" w:rsidP="00AE390C">
      <w:pPr>
        <w:tabs>
          <w:tab w:val="left" w:pos="-1920"/>
        </w:tabs>
        <w:ind w:left="-284" w:firstLine="710"/>
        <w:jc w:val="both"/>
        <w:rPr>
          <w:bCs/>
          <w:sz w:val="20"/>
        </w:rPr>
      </w:pPr>
      <w:r w:rsidRPr="004821D3">
        <w:rPr>
          <w:b/>
          <w:bCs/>
          <w:sz w:val="20"/>
        </w:rPr>
        <w:t xml:space="preserve">I – Retificar a Portaria nº 288 de 24 de março de 2011, </w:t>
      </w:r>
      <w:r w:rsidRPr="00AE390C">
        <w:rPr>
          <w:bCs/>
          <w:sz w:val="20"/>
        </w:rPr>
        <w:t>de modo a dar ao seu inciso II, a seguinte redação:</w:t>
      </w:r>
    </w:p>
    <w:p w:rsidR="00AE390C" w:rsidRPr="0099415B" w:rsidRDefault="00AE390C" w:rsidP="00AE390C">
      <w:pPr>
        <w:tabs>
          <w:tab w:val="left" w:pos="-1920"/>
        </w:tabs>
        <w:ind w:left="-284" w:firstLine="710"/>
        <w:jc w:val="both"/>
        <w:rPr>
          <w:b/>
          <w:bCs/>
          <w:sz w:val="16"/>
          <w:szCs w:val="16"/>
        </w:rPr>
      </w:pPr>
    </w:p>
    <w:p w:rsidR="00AE390C" w:rsidRPr="00AE390C" w:rsidRDefault="00AE390C" w:rsidP="00AE390C">
      <w:pPr>
        <w:tabs>
          <w:tab w:val="left" w:pos="-1920"/>
        </w:tabs>
        <w:ind w:left="-284" w:firstLine="710"/>
        <w:jc w:val="both"/>
        <w:rPr>
          <w:bCs/>
          <w:sz w:val="20"/>
        </w:rPr>
      </w:pPr>
      <w:r w:rsidRPr="004821D3">
        <w:rPr>
          <w:b/>
          <w:bCs/>
          <w:sz w:val="20"/>
        </w:rPr>
        <w:t xml:space="preserve">II – APOSENTAR POR INVALIDEZ, COM PROVENTOS PROPORCIONAIS, </w:t>
      </w:r>
      <w:r w:rsidRPr="00AE390C">
        <w:rPr>
          <w:bCs/>
          <w:sz w:val="20"/>
        </w:rPr>
        <w:t>nos termos do artigo 40, § 1º, I, da Constituição Federal, com a redação que lhe deu a EC 41/2003, Lei Federal 10.887/2004 c/c artigo 20 da Lei Orgânica do Município, e artigos 97, inciso I e 98, inciso I, alínea “b” da Lei Municipal 548/86 c/c artigo 20, I, alínea “d” e artigo 15, do anexo III, ambos da Lei Municipal nº 1129/2002 a servidora municipal</w:t>
      </w:r>
      <w:r w:rsidRPr="004821D3">
        <w:rPr>
          <w:b/>
          <w:bCs/>
          <w:sz w:val="20"/>
        </w:rPr>
        <w:t xml:space="preserve"> CATIA REGINA ANDRADE SILVA, </w:t>
      </w:r>
      <w:r w:rsidRPr="00AE390C">
        <w:rPr>
          <w:bCs/>
          <w:sz w:val="20"/>
        </w:rPr>
        <w:t>portadora da cédula de identidade nº06807916-9, expedida pelo IFP/RJ, inscrita no CPF/MF sob o nº 010.394.197-55, cadastrada no PIS/PASEP nº 12231352305.</w:t>
      </w:r>
    </w:p>
    <w:p w:rsidR="00AE390C" w:rsidRPr="0099415B" w:rsidRDefault="00AE390C" w:rsidP="00AE390C">
      <w:pPr>
        <w:tabs>
          <w:tab w:val="left" w:pos="-1920"/>
        </w:tabs>
        <w:ind w:left="-284" w:firstLine="710"/>
        <w:jc w:val="both"/>
        <w:rPr>
          <w:b/>
          <w:bCs/>
          <w:sz w:val="16"/>
          <w:szCs w:val="16"/>
        </w:rPr>
      </w:pPr>
    </w:p>
    <w:p w:rsidR="00AE390C" w:rsidRPr="00AE390C" w:rsidRDefault="00AE390C" w:rsidP="00AE390C">
      <w:pPr>
        <w:tabs>
          <w:tab w:val="left" w:pos="-1920"/>
        </w:tabs>
        <w:ind w:left="-284" w:firstLine="710"/>
        <w:jc w:val="both"/>
        <w:rPr>
          <w:bCs/>
          <w:sz w:val="20"/>
        </w:rPr>
      </w:pPr>
      <w:r w:rsidRPr="004821D3">
        <w:rPr>
          <w:b/>
          <w:bCs/>
          <w:sz w:val="20"/>
        </w:rPr>
        <w:t xml:space="preserve">III – REFIXAR </w:t>
      </w:r>
      <w:r w:rsidRPr="00AE390C">
        <w:rPr>
          <w:bCs/>
          <w:sz w:val="20"/>
        </w:rPr>
        <w:t>os proventos da aposentadoria referentes ao vínculo I – Professor II SUP 17 25 h - matrícula 001205-1, em R$1.299,75 (hum mil duzentos e noventa e nove reais e setenta e cinco centavos); e referentes ao vínculo II – Professor II SUP 16 25 h – matrícula 002667-0, em R$1.009,74 (hum mil, nove reais e setenta e quatro centavos), que somados consubstanciam o total de proventos em R$2.309,49 (dois mil, trezentos e nove reais e quarenta e nove centavos), concluídos pelas seguintes parcelas:</w:t>
      </w:r>
    </w:p>
    <w:p w:rsidR="00AE390C" w:rsidRPr="0099415B" w:rsidRDefault="00AE390C" w:rsidP="00AE390C">
      <w:pPr>
        <w:tabs>
          <w:tab w:val="left" w:pos="-1920"/>
        </w:tabs>
        <w:ind w:left="-284" w:firstLine="710"/>
        <w:jc w:val="both"/>
        <w:rPr>
          <w:bCs/>
          <w:sz w:val="16"/>
          <w:szCs w:val="16"/>
        </w:rPr>
      </w:pPr>
    </w:p>
    <w:p w:rsidR="00AE390C" w:rsidRPr="004821D3" w:rsidRDefault="00AE390C" w:rsidP="00AE390C">
      <w:pPr>
        <w:tabs>
          <w:tab w:val="left" w:pos="-1920"/>
        </w:tabs>
        <w:ind w:left="-284"/>
        <w:jc w:val="both"/>
        <w:rPr>
          <w:b/>
          <w:bCs/>
          <w:sz w:val="20"/>
          <w:u w:val="single"/>
        </w:rPr>
      </w:pPr>
      <w:r w:rsidRPr="004821D3">
        <w:rPr>
          <w:b/>
          <w:bCs/>
          <w:sz w:val="20"/>
          <w:u w:val="single"/>
        </w:rPr>
        <w:t>Matrícula 001205-1</w:t>
      </w:r>
    </w:p>
    <w:p w:rsidR="00AE390C" w:rsidRPr="004821D3" w:rsidRDefault="00AE390C" w:rsidP="00AE390C">
      <w:pPr>
        <w:tabs>
          <w:tab w:val="left" w:pos="-1920"/>
        </w:tabs>
        <w:ind w:left="-284"/>
        <w:rPr>
          <w:b/>
          <w:bCs/>
          <w:sz w:val="20"/>
        </w:rPr>
      </w:pPr>
      <w:r w:rsidRPr="004821D3">
        <w:rPr>
          <w:b/>
          <w:bCs/>
          <w:sz w:val="20"/>
        </w:rPr>
        <w:t>Vencimento 7745/10</w:t>
      </w:r>
      <w:r>
        <w:rPr>
          <w:b/>
          <w:bCs/>
          <w:sz w:val="20"/>
        </w:rPr>
        <w:t>950 (70,70</w:t>
      </w:r>
      <w:proofErr w:type="gramStart"/>
      <w:r>
        <w:rPr>
          <w:b/>
          <w:bCs/>
          <w:sz w:val="20"/>
        </w:rPr>
        <w:t>%):</w:t>
      </w:r>
      <w:r>
        <w:rPr>
          <w:bCs/>
          <w:sz w:val="20"/>
        </w:rPr>
        <w:t>....................................................................................</w:t>
      </w:r>
      <w:r w:rsidR="0099415B">
        <w:rPr>
          <w:bCs/>
          <w:sz w:val="20"/>
        </w:rPr>
        <w:t>...............................</w:t>
      </w:r>
      <w:proofErr w:type="gramEnd"/>
      <w:r w:rsidR="0099415B">
        <w:rPr>
          <w:bCs/>
          <w:sz w:val="20"/>
        </w:rPr>
        <w:t>R</w:t>
      </w:r>
      <w:r w:rsidRPr="00AE390C">
        <w:rPr>
          <w:bCs/>
          <w:sz w:val="20"/>
        </w:rPr>
        <w:t>$</w:t>
      </w:r>
      <w:r>
        <w:rPr>
          <w:bCs/>
          <w:sz w:val="20"/>
        </w:rPr>
        <w:t xml:space="preserve">   </w:t>
      </w:r>
      <w:r w:rsidRPr="00AE390C">
        <w:rPr>
          <w:bCs/>
          <w:sz w:val="20"/>
        </w:rPr>
        <w:t>869,82</w:t>
      </w:r>
    </w:p>
    <w:p w:rsidR="00AE390C" w:rsidRPr="0099415B" w:rsidRDefault="00AE390C" w:rsidP="00AE390C">
      <w:pPr>
        <w:tabs>
          <w:tab w:val="left" w:pos="-1920"/>
        </w:tabs>
        <w:ind w:left="-284"/>
        <w:jc w:val="both"/>
        <w:rPr>
          <w:bCs/>
          <w:sz w:val="20"/>
        </w:rPr>
      </w:pPr>
      <w:r w:rsidRPr="0099415B">
        <w:rPr>
          <w:bCs/>
          <w:sz w:val="20"/>
        </w:rPr>
        <w:t>Anexo II da LC nº 027/2004 c/c LM nº 1333/2005 – SUP 17 25 h</w:t>
      </w:r>
    </w:p>
    <w:p w:rsidR="00AE390C" w:rsidRPr="004821D3" w:rsidRDefault="00AE390C" w:rsidP="0099415B">
      <w:pPr>
        <w:tabs>
          <w:tab w:val="left" w:pos="-1920"/>
        </w:tabs>
        <w:ind w:left="-284"/>
        <w:rPr>
          <w:b/>
          <w:bCs/>
          <w:sz w:val="20"/>
        </w:rPr>
      </w:pPr>
      <w:proofErr w:type="spellStart"/>
      <w:r w:rsidRPr="004821D3">
        <w:rPr>
          <w:b/>
          <w:bCs/>
          <w:sz w:val="20"/>
        </w:rPr>
        <w:t>An</w:t>
      </w:r>
      <w:r w:rsidR="0099415B">
        <w:rPr>
          <w:b/>
          <w:bCs/>
          <w:sz w:val="20"/>
        </w:rPr>
        <w:t>uênio</w:t>
      </w:r>
      <w:proofErr w:type="spellEnd"/>
      <w:r w:rsidR="0099415B">
        <w:rPr>
          <w:b/>
          <w:bCs/>
          <w:sz w:val="20"/>
        </w:rPr>
        <w:t xml:space="preserve"> 21</w:t>
      </w:r>
      <w:proofErr w:type="gramStart"/>
      <w:r w:rsidR="0099415B">
        <w:rPr>
          <w:b/>
          <w:bCs/>
          <w:sz w:val="20"/>
        </w:rPr>
        <w:t>%:</w:t>
      </w:r>
      <w:r w:rsidR="0099415B">
        <w:rPr>
          <w:bCs/>
          <w:sz w:val="20"/>
        </w:rPr>
        <w:t>.....................................................................................................................................................</w:t>
      </w:r>
      <w:proofErr w:type="gramEnd"/>
      <w:r w:rsidRPr="0099415B">
        <w:rPr>
          <w:bCs/>
          <w:sz w:val="20"/>
        </w:rPr>
        <w:t>R$</w:t>
      </w:r>
      <w:r w:rsidR="0099415B">
        <w:rPr>
          <w:bCs/>
          <w:sz w:val="20"/>
        </w:rPr>
        <w:t xml:space="preserve">   </w:t>
      </w:r>
      <w:r w:rsidRPr="0099415B">
        <w:rPr>
          <w:bCs/>
          <w:sz w:val="20"/>
        </w:rPr>
        <w:t>258,36</w:t>
      </w:r>
    </w:p>
    <w:p w:rsidR="00AE390C" w:rsidRPr="0099415B" w:rsidRDefault="00AE390C" w:rsidP="00AE390C">
      <w:pPr>
        <w:tabs>
          <w:tab w:val="left" w:pos="-1920"/>
        </w:tabs>
        <w:ind w:left="-284"/>
        <w:jc w:val="both"/>
        <w:rPr>
          <w:bCs/>
          <w:sz w:val="20"/>
        </w:rPr>
      </w:pPr>
      <w:r w:rsidRPr="0099415B">
        <w:rPr>
          <w:bCs/>
          <w:sz w:val="20"/>
        </w:rPr>
        <w:t>Alínea “a” do Art. 1º da LM nº 638/89 c/c inciso I do Art. 99 da LM nº 548/86</w:t>
      </w:r>
    </w:p>
    <w:p w:rsidR="00AE390C" w:rsidRPr="004821D3" w:rsidRDefault="00AE390C" w:rsidP="0099415B">
      <w:pPr>
        <w:tabs>
          <w:tab w:val="left" w:pos="-1920"/>
        </w:tabs>
        <w:ind w:left="-284"/>
        <w:rPr>
          <w:b/>
          <w:bCs/>
          <w:sz w:val="20"/>
        </w:rPr>
      </w:pPr>
      <w:r w:rsidRPr="004821D3">
        <w:rPr>
          <w:b/>
          <w:bCs/>
          <w:sz w:val="20"/>
        </w:rPr>
        <w:t>Gratificação de Produtividade e Regência Incorporada (70,70</w:t>
      </w:r>
      <w:proofErr w:type="gramStart"/>
      <w:r w:rsidRPr="004821D3">
        <w:rPr>
          <w:b/>
          <w:bCs/>
          <w:sz w:val="20"/>
        </w:rPr>
        <w:t>%)</w:t>
      </w:r>
      <w:r w:rsidR="0099415B">
        <w:rPr>
          <w:b/>
          <w:bCs/>
          <w:sz w:val="20"/>
        </w:rPr>
        <w:t>:</w:t>
      </w:r>
      <w:r w:rsidR="0099415B">
        <w:rPr>
          <w:bCs/>
          <w:sz w:val="20"/>
        </w:rPr>
        <w:t>..............................................................</w:t>
      </w:r>
      <w:proofErr w:type="gramEnd"/>
      <w:r w:rsidRPr="0099415B">
        <w:rPr>
          <w:bCs/>
          <w:sz w:val="20"/>
        </w:rPr>
        <w:t>R$</w:t>
      </w:r>
      <w:r w:rsidR="0099415B" w:rsidRPr="0099415B">
        <w:rPr>
          <w:bCs/>
          <w:sz w:val="20"/>
        </w:rPr>
        <w:t xml:space="preserve">   </w:t>
      </w:r>
      <w:r w:rsidRPr="0099415B">
        <w:rPr>
          <w:bCs/>
          <w:sz w:val="20"/>
        </w:rPr>
        <w:t>171,57</w:t>
      </w:r>
    </w:p>
    <w:p w:rsidR="0099415B" w:rsidRDefault="00AE390C" w:rsidP="00AE390C">
      <w:pPr>
        <w:tabs>
          <w:tab w:val="left" w:pos="-1920"/>
        </w:tabs>
        <w:ind w:left="-284"/>
        <w:jc w:val="both"/>
        <w:rPr>
          <w:bCs/>
          <w:sz w:val="20"/>
        </w:rPr>
      </w:pPr>
      <w:r w:rsidRPr="0099415B">
        <w:rPr>
          <w:bCs/>
          <w:sz w:val="20"/>
        </w:rPr>
        <w:t xml:space="preserve">Incisos I e II do art. 2º, da LM nº 1210/2002 c/c LM nº 1261/2004, ref. SUP 17 do Anexo II da </w:t>
      </w:r>
    </w:p>
    <w:p w:rsidR="00AE390C" w:rsidRPr="0099415B" w:rsidRDefault="00AE390C" w:rsidP="00AE390C">
      <w:pPr>
        <w:tabs>
          <w:tab w:val="left" w:pos="-1920"/>
        </w:tabs>
        <w:ind w:left="-284"/>
        <w:jc w:val="both"/>
        <w:rPr>
          <w:bCs/>
          <w:sz w:val="20"/>
        </w:rPr>
      </w:pPr>
      <w:r w:rsidRPr="0099415B">
        <w:rPr>
          <w:bCs/>
          <w:sz w:val="20"/>
        </w:rPr>
        <w:t>LC 015/97 c/c LC 027/2004 e instrução memorando PROGE nº 582/2010.</w:t>
      </w:r>
    </w:p>
    <w:p w:rsidR="00AE390C" w:rsidRPr="004821D3" w:rsidRDefault="00AE390C" w:rsidP="0099415B">
      <w:pPr>
        <w:tabs>
          <w:tab w:val="left" w:pos="-1920"/>
        </w:tabs>
        <w:ind w:left="-284"/>
        <w:rPr>
          <w:b/>
          <w:bCs/>
          <w:sz w:val="20"/>
          <w:u w:val="single"/>
        </w:rPr>
      </w:pPr>
      <w:r w:rsidRPr="004821D3">
        <w:rPr>
          <w:b/>
          <w:bCs/>
          <w:sz w:val="20"/>
        </w:rPr>
        <w:t>Total</w:t>
      </w:r>
      <w:r w:rsidR="0099415B">
        <w:rPr>
          <w:b/>
          <w:bCs/>
          <w:sz w:val="20"/>
        </w:rPr>
        <w:t xml:space="preserve"> dos </w:t>
      </w:r>
      <w:proofErr w:type="gramStart"/>
      <w:r w:rsidR="0099415B">
        <w:rPr>
          <w:b/>
          <w:bCs/>
          <w:sz w:val="20"/>
        </w:rPr>
        <w:t>Proventos:</w:t>
      </w:r>
      <w:r w:rsidR="0099415B">
        <w:rPr>
          <w:bCs/>
          <w:sz w:val="20"/>
        </w:rPr>
        <w:t>.........................................................................................................................................</w:t>
      </w:r>
      <w:proofErr w:type="gramEnd"/>
      <w:r w:rsidRPr="004821D3">
        <w:rPr>
          <w:b/>
          <w:bCs/>
          <w:sz w:val="20"/>
        </w:rPr>
        <w:t>R$</w:t>
      </w:r>
      <w:r w:rsidR="0099415B">
        <w:rPr>
          <w:b/>
          <w:bCs/>
          <w:sz w:val="20"/>
        </w:rPr>
        <w:t xml:space="preserve"> </w:t>
      </w:r>
      <w:r w:rsidRPr="0099415B">
        <w:rPr>
          <w:b/>
          <w:bCs/>
          <w:sz w:val="20"/>
        </w:rPr>
        <w:t>1.299,75</w:t>
      </w:r>
    </w:p>
    <w:p w:rsidR="00AE390C" w:rsidRPr="0099415B" w:rsidRDefault="00AE390C" w:rsidP="00AE390C">
      <w:pPr>
        <w:tabs>
          <w:tab w:val="left" w:pos="-1920"/>
        </w:tabs>
        <w:ind w:left="-284"/>
        <w:jc w:val="both"/>
        <w:rPr>
          <w:b/>
          <w:bCs/>
          <w:sz w:val="16"/>
          <w:szCs w:val="16"/>
          <w:u w:val="single"/>
        </w:rPr>
      </w:pPr>
    </w:p>
    <w:p w:rsidR="00AE390C" w:rsidRPr="004821D3" w:rsidRDefault="00AE390C" w:rsidP="00AE390C">
      <w:pPr>
        <w:tabs>
          <w:tab w:val="left" w:pos="-1920"/>
        </w:tabs>
        <w:ind w:left="-284"/>
        <w:jc w:val="both"/>
        <w:rPr>
          <w:b/>
          <w:bCs/>
          <w:sz w:val="20"/>
          <w:u w:val="single"/>
        </w:rPr>
      </w:pPr>
      <w:r w:rsidRPr="004821D3">
        <w:rPr>
          <w:b/>
          <w:bCs/>
          <w:sz w:val="20"/>
          <w:u w:val="single"/>
        </w:rPr>
        <w:t>Matrícula 002667-0</w:t>
      </w:r>
    </w:p>
    <w:p w:rsidR="00AE390C" w:rsidRPr="004821D3" w:rsidRDefault="00AE390C" w:rsidP="0099415B">
      <w:pPr>
        <w:tabs>
          <w:tab w:val="left" w:pos="-1920"/>
        </w:tabs>
        <w:ind w:left="-284"/>
        <w:rPr>
          <w:b/>
          <w:bCs/>
          <w:sz w:val="20"/>
        </w:rPr>
      </w:pPr>
      <w:r w:rsidRPr="004821D3">
        <w:rPr>
          <w:b/>
          <w:bCs/>
          <w:sz w:val="20"/>
        </w:rPr>
        <w:t>Vencimento 6639/10950 (60,6</w:t>
      </w:r>
      <w:r w:rsidR="0099415B">
        <w:rPr>
          <w:b/>
          <w:bCs/>
          <w:sz w:val="20"/>
        </w:rPr>
        <w:t>0</w:t>
      </w:r>
      <w:proofErr w:type="gramStart"/>
      <w:r w:rsidR="0099415B">
        <w:rPr>
          <w:b/>
          <w:bCs/>
          <w:sz w:val="20"/>
        </w:rPr>
        <w:t>%):</w:t>
      </w:r>
      <w:r w:rsidR="0099415B">
        <w:rPr>
          <w:bCs/>
          <w:sz w:val="20"/>
        </w:rPr>
        <w:t>...................................................................................................................</w:t>
      </w:r>
      <w:proofErr w:type="gramEnd"/>
      <w:r w:rsidRPr="0099415B">
        <w:rPr>
          <w:bCs/>
          <w:sz w:val="20"/>
        </w:rPr>
        <w:t>R$</w:t>
      </w:r>
      <w:r w:rsidR="0099415B" w:rsidRPr="0099415B">
        <w:rPr>
          <w:bCs/>
          <w:sz w:val="20"/>
        </w:rPr>
        <w:t xml:space="preserve">   </w:t>
      </w:r>
      <w:r w:rsidRPr="0099415B">
        <w:rPr>
          <w:bCs/>
          <w:sz w:val="20"/>
        </w:rPr>
        <w:t>668,52</w:t>
      </w:r>
    </w:p>
    <w:p w:rsidR="00AE390C" w:rsidRPr="004821D3" w:rsidRDefault="00AE390C" w:rsidP="00AE390C">
      <w:pPr>
        <w:tabs>
          <w:tab w:val="left" w:pos="-1920"/>
        </w:tabs>
        <w:ind w:left="-284"/>
        <w:jc w:val="both"/>
        <w:rPr>
          <w:b/>
          <w:bCs/>
          <w:sz w:val="20"/>
        </w:rPr>
      </w:pPr>
      <w:r w:rsidRPr="004821D3">
        <w:rPr>
          <w:b/>
          <w:bCs/>
          <w:sz w:val="20"/>
        </w:rPr>
        <w:t>Anexo II da LC nº 027/2004 c/c LM nº 1333/2005 – SUP 16 25 h</w:t>
      </w:r>
    </w:p>
    <w:p w:rsidR="00AE390C" w:rsidRPr="004821D3" w:rsidRDefault="00AE390C" w:rsidP="0099415B">
      <w:pPr>
        <w:tabs>
          <w:tab w:val="left" w:pos="-1920"/>
        </w:tabs>
        <w:ind w:left="-284"/>
        <w:rPr>
          <w:b/>
          <w:bCs/>
          <w:sz w:val="20"/>
        </w:rPr>
      </w:pPr>
      <w:proofErr w:type="spellStart"/>
      <w:r w:rsidRPr="004821D3">
        <w:rPr>
          <w:b/>
          <w:bCs/>
          <w:sz w:val="20"/>
        </w:rPr>
        <w:t>Anuênio</w:t>
      </w:r>
      <w:proofErr w:type="spellEnd"/>
      <w:r w:rsidRPr="004821D3">
        <w:rPr>
          <w:b/>
          <w:bCs/>
          <w:sz w:val="20"/>
        </w:rPr>
        <w:t xml:space="preserve"> 18</w:t>
      </w:r>
      <w:proofErr w:type="gramStart"/>
      <w:r w:rsidR="0099415B">
        <w:rPr>
          <w:b/>
          <w:bCs/>
          <w:sz w:val="20"/>
        </w:rPr>
        <w:t>%:</w:t>
      </w:r>
      <w:r w:rsidR="0099415B">
        <w:rPr>
          <w:bCs/>
          <w:sz w:val="20"/>
        </w:rPr>
        <w:t>.....................................................................................................................................................</w:t>
      </w:r>
      <w:proofErr w:type="gramEnd"/>
      <w:r w:rsidRPr="0099415B">
        <w:rPr>
          <w:bCs/>
          <w:sz w:val="20"/>
        </w:rPr>
        <w:t>R$</w:t>
      </w:r>
      <w:r w:rsidR="0099415B" w:rsidRPr="0099415B">
        <w:rPr>
          <w:bCs/>
          <w:sz w:val="20"/>
        </w:rPr>
        <w:t xml:space="preserve">   </w:t>
      </w:r>
      <w:r w:rsidRPr="0099415B">
        <w:rPr>
          <w:bCs/>
          <w:sz w:val="20"/>
        </w:rPr>
        <w:t>205,05</w:t>
      </w:r>
    </w:p>
    <w:p w:rsidR="00AE390C" w:rsidRPr="0099415B" w:rsidRDefault="00AE390C" w:rsidP="00AE390C">
      <w:pPr>
        <w:tabs>
          <w:tab w:val="left" w:pos="-1920"/>
        </w:tabs>
        <w:ind w:left="-284"/>
        <w:jc w:val="both"/>
        <w:rPr>
          <w:bCs/>
          <w:sz w:val="20"/>
        </w:rPr>
      </w:pPr>
      <w:r w:rsidRPr="0099415B">
        <w:rPr>
          <w:bCs/>
          <w:sz w:val="20"/>
        </w:rPr>
        <w:t>Alínea “a” do Art. 1º da LM nº 638/89 c/c inciso I do Art. 99 da LM nº 548/86</w:t>
      </w:r>
    </w:p>
    <w:p w:rsidR="00AE390C" w:rsidRPr="0099415B" w:rsidRDefault="00AE390C" w:rsidP="0099415B">
      <w:pPr>
        <w:tabs>
          <w:tab w:val="left" w:pos="-1920"/>
        </w:tabs>
        <w:ind w:left="-284"/>
        <w:rPr>
          <w:bCs/>
          <w:sz w:val="20"/>
        </w:rPr>
      </w:pPr>
      <w:r w:rsidRPr="004821D3">
        <w:rPr>
          <w:b/>
          <w:bCs/>
          <w:sz w:val="20"/>
        </w:rPr>
        <w:t>Gratificação de Produtividade e Regência Incorporada (60,60</w:t>
      </w:r>
      <w:proofErr w:type="gramStart"/>
      <w:r w:rsidRPr="004821D3">
        <w:rPr>
          <w:b/>
          <w:bCs/>
          <w:sz w:val="20"/>
        </w:rPr>
        <w:t>%)</w:t>
      </w:r>
      <w:r w:rsidR="0099415B">
        <w:rPr>
          <w:b/>
          <w:bCs/>
          <w:sz w:val="20"/>
        </w:rPr>
        <w:t>:</w:t>
      </w:r>
      <w:r w:rsidR="0099415B" w:rsidRPr="0099415B">
        <w:rPr>
          <w:bCs/>
          <w:sz w:val="20"/>
        </w:rPr>
        <w:t>..............................................................</w:t>
      </w:r>
      <w:proofErr w:type="gramEnd"/>
      <w:r w:rsidRPr="0099415B">
        <w:rPr>
          <w:bCs/>
          <w:sz w:val="20"/>
        </w:rPr>
        <w:t>R$</w:t>
      </w:r>
      <w:r w:rsidR="0099415B" w:rsidRPr="0099415B">
        <w:rPr>
          <w:bCs/>
          <w:sz w:val="20"/>
        </w:rPr>
        <w:t xml:space="preserve">   </w:t>
      </w:r>
      <w:r w:rsidRPr="0099415B">
        <w:rPr>
          <w:bCs/>
          <w:sz w:val="20"/>
        </w:rPr>
        <w:t>136,17</w:t>
      </w:r>
    </w:p>
    <w:p w:rsidR="0099415B" w:rsidRDefault="00AE390C" w:rsidP="00AE390C">
      <w:pPr>
        <w:tabs>
          <w:tab w:val="left" w:pos="-1920"/>
        </w:tabs>
        <w:ind w:left="-284"/>
        <w:jc w:val="both"/>
        <w:rPr>
          <w:bCs/>
          <w:sz w:val="20"/>
        </w:rPr>
      </w:pPr>
      <w:r w:rsidRPr="0099415B">
        <w:rPr>
          <w:bCs/>
          <w:sz w:val="20"/>
        </w:rPr>
        <w:t xml:space="preserve">Incisos I e II do art. 2º, da LM nº 1210/2002 c/c LM nº 1261/2004, ref. SUP 16 do Anexo II da </w:t>
      </w:r>
    </w:p>
    <w:p w:rsidR="00AE390C" w:rsidRPr="0099415B" w:rsidRDefault="00AE390C" w:rsidP="00AE390C">
      <w:pPr>
        <w:tabs>
          <w:tab w:val="left" w:pos="-1920"/>
        </w:tabs>
        <w:ind w:left="-284"/>
        <w:jc w:val="both"/>
        <w:rPr>
          <w:bCs/>
          <w:sz w:val="20"/>
        </w:rPr>
      </w:pPr>
      <w:r w:rsidRPr="0099415B">
        <w:rPr>
          <w:bCs/>
          <w:sz w:val="20"/>
        </w:rPr>
        <w:t>LC 015/97 c/c LC 027/2004 e instrução memorando PROGE nº 582/2010.</w:t>
      </w:r>
    </w:p>
    <w:p w:rsidR="00AE390C" w:rsidRPr="0099415B" w:rsidRDefault="00AE390C" w:rsidP="0099415B">
      <w:pPr>
        <w:tabs>
          <w:tab w:val="left" w:pos="-1920"/>
        </w:tabs>
        <w:ind w:left="-284"/>
        <w:rPr>
          <w:b/>
          <w:bCs/>
          <w:sz w:val="20"/>
        </w:rPr>
      </w:pPr>
      <w:r w:rsidRPr="004821D3">
        <w:rPr>
          <w:b/>
          <w:bCs/>
          <w:sz w:val="20"/>
        </w:rPr>
        <w:t>Total</w:t>
      </w:r>
      <w:r w:rsidR="0099415B">
        <w:rPr>
          <w:b/>
          <w:bCs/>
          <w:sz w:val="20"/>
        </w:rPr>
        <w:t xml:space="preserve"> dos </w:t>
      </w:r>
      <w:proofErr w:type="gramStart"/>
      <w:r w:rsidR="0099415B">
        <w:rPr>
          <w:b/>
          <w:bCs/>
          <w:sz w:val="20"/>
        </w:rPr>
        <w:t>Proventos:.........................................................................................................................................</w:t>
      </w:r>
      <w:proofErr w:type="gramEnd"/>
      <w:r w:rsidRPr="004821D3">
        <w:rPr>
          <w:b/>
          <w:bCs/>
          <w:sz w:val="20"/>
        </w:rPr>
        <w:t>R$</w:t>
      </w:r>
      <w:r w:rsidR="0099415B">
        <w:rPr>
          <w:b/>
          <w:bCs/>
          <w:sz w:val="20"/>
        </w:rPr>
        <w:t xml:space="preserve"> </w:t>
      </w:r>
      <w:r w:rsidRPr="0099415B">
        <w:rPr>
          <w:b/>
          <w:bCs/>
          <w:sz w:val="20"/>
        </w:rPr>
        <w:t>1.009,74</w:t>
      </w:r>
    </w:p>
    <w:p w:rsidR="00AE390C" w:rsidRPr="004821D3" w:rsidRDefault="00AE390C" w:rsidP="00AE390C">
      <w:pPr>
        <w:tabs>
          <w:tab w:val="left" w:pos="-1920"/>
        </w:tabs>
        <w:ind w:left="-284"/>
        <w:jc w:val="both"/>
        <w:rPr>
          <w:b/>
          <w:sz w:val="20"/>
        </w:rPr>
      </w:pPr>
    </w:p>
    <w:p w:rsidR="00AE390C" w:rsidRPr="0099415B" w:rsidRDefault="00AE390C" w:rsidP="00AE390C">
      <w:pPr>
        <w:tabs>
          <w:tab w:val="left" w:pos="-1920"/>
        </w:tabs>
        <w:ind w:left="-284" w:firstLine="710"/>
        <w:jc w:val="both"/>
        <w:rPr>
          <w:sz w:val="20"/>
        </w:rPr>
      </w:pPr>
      <w:r w:rsidRPr="004821D3">
        <w:rPr>
          <w:b/>
          <w:sz w:val="20"/>
        </w:rPr>
        <w:t xml:space="preserve">IV - </w:t>
      </w:r>
      <w:r w:rsidRPr="0099415B">
        <w:rPr>
          <w:sz w:val="20"/>
        </w:rPr>
        <w:t>Esta Portaria entrará em vigor na data de sua publicação, com efeitos retroativos a 19/05/2010.</w:t>
      </w:r>
    </w:p>
    <w:p w:rsidR="00860A12" w:rsidRPr="00860A12" w:rsidRDefault="00860A12" w:rsidP="00AE390C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860A12" w:rsidRDefault="00860A12" w:rsidP="0099415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C5609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de </w:t>
      </w:r>
      <w:r w:rsidR="002C5609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421382" w:rsidRDefault="00421382" w:rsidP="0099415B">
      <w:pPr>
        <w:tabs>
          <w:tab w:val="center" w:pos="4536"/>
          <w:tab w:val="left" w:pos="5385"/>
        </w:tabs>
        <w:jc w:val="both"/>
        <w:rPr>
          <w:b/>
          <w:i/>
          <w:sz w:val="22"/>
          <w:szCs w:val="22"/>
        </w:rPr>
      </w:pPr>
    </w:p>
    <w:p w:rsidR="0099415B" w:rsidRDefault="0099415B" w:rsidP="0099415B">
      <w:pPr>
        <w:tabs>
          <w:tab w:val="center" w:pos="4536"/>
          <w:tab w:val="left" w:pos="5385"/>
        </w:tabs>
        <w:jc w:val="both"/>
        <w:rPr>
          <w:b/>
          <w:i/>
          <w:sz w:val="22"/>
          <w:szCs w:val="22"/>
        </w:rPr>
      </w:pPr>
    </w:p>
    <w:p w:rsidR="0099415B" w:rsidRPr="00860A12" w:rsidRDefault="0099415B" w:rsidP="0099415B">
      <w:pPr>
        <w:tabs>
          <w:tab w:val="center" w:pos="4536"/>
          <w:tab w:val="left" w:pos="5385"/>
        </w:tabs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99415B">
      <w:headerReference w:type="even" r:id="rId7"/>
      <w:headerReference w:type="default" r:id="rId8"/>
      <w:headerReference w:type="first" r:id="rId9"/>
      <w:pgSz w:w="11906" w:h="16838"/>
      <w:pgMar w:top="1417" w:right="849" w:bottom="0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9C" w:rsidRDefault="0085449C" w:rsidP="003620ED">
      <w:r>
        <w:separator/>
      </w:r>
    </w:p>
  </w:endnote>
  <w:endnote w:type="continuationSeparator" w:id="0">
    <w:p w:rsidR="0085449C" w:rsidRDefault="0085449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9C" w:rsidRDefault="0085449C" w:rsidP="003620ED">
      <w:r>
        <w:separator/>
      </w:r>
    </w:p>
  </w:footnote>
  <w:footnote w:type="continuationSeparator" w:id="0">
    <w:p w:rsidR="0085449C" w:rsidRDefault="0085449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44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449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44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69DE"/>
    <w:rsid w:val="000C2E0D"/>
    <w:rsid w:val="00130625"/>
    <w:rsid w:val="0015530A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5449C"/>
    <w:rsid w:val="00860406"/>
    <w:rsid w:val="00860A12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9415B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E390C"/>
    <w:rsid w:val="00B22083"/>
    <w:rsid w:val="00B23C47"/>
    <w:rsid w:val="00B357A5"/>
    <w:rsid w:val="00BA006F"/>
    <w:rsid w:val="00BA1298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30D1CEE-5130-4A1B-827E-D60E813D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5A2E0-8E66-44A7-A29D-C5E9BDA4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2017-09-04T19:23:00Z</cp:lastPrinted>
  <dcterms:created xsi:type="dcterms:W3CDTF">2018-10-10T18:19:00Z</dcterms:created>
  <dcterms:modified xsi:type="dcterms:W3CDTF">2018-10-10T18:19:00Z</dcterms:modified>
</cp:coreProperties>
</file>