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C9" w:rsidRDefault="003A225D" w:rsidP="00D44BC9">
      <w:pPr>
        <w:pStyle w:val="SemEspaamento"/>
        <w:ind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Republicado por ter saído sem o anexo</w:t>
      </w:r>
    </w:p>
    <w:p w:rsidR="00D44BC9" w:rsidRDefault="00D44BC9" w:rsidP="00D44BC9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BC9" w:rsidRPr="00D44BC9" w:rsidRDefault="001D4272" w:rsidP="00D44BC9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LEI COMPLEMENTAR Nº 148 DE 28</w:t>
      </w:r>
      <w:r w:rsidR="00D44BC9" w:rsidRPr="00D44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DEZEMBRO DE 2018.</w:t>
      </w:r>
    </w:p>
    <w:p w:rsidR="00D44BC9" w:rsidRPr="00D44BC9" w:rsidRDefault="00D44BC9" w:rsidP="00D44BC9">
      <w:pPr>
        <w:spacing w:before="92" w:line="237" w:lineRule="auto"/>
        <w:ind w:left="4536" w:right="-568"/>
        <w:jc w:val="both"/>
        <w:rPr>
          <w:b/>
          <w:i/>
        </w:rPr>
      </w:pPr>
    </w:p>
    <w:p w:rsidR="00D44BC9" w:rsidRDefault="00D44BC9" w:rsidP="00D44BC9">
      <w:pPr>
        <w:ind w:left="4111" w:right="-567"/>
        <w:jc w:val="both"/>
        <w:rPr>
          <w:b/>
          <w:i/>
        </w:rPr>
      </w:pPr>
    </w:p>
    <w:p w:rsidR="00D44BC9" w:rsidRPr="00D44BC9" w:rsidRDefault="00D44BC9" w:rsidP="00D44BC9">
      <w:pPr>
        <w:ind w:left="4111" w:right="-567"/>
        <w:jc w:val="both"/>
        <w:rPr>
          <w:b/>
          <w:i/>
        </w:rPr>
      </w:pPr>
      <w:r w:rsidRPr="00D44BC9">
        <w:rPr>
          <w:b/>
          <w:i/>
        </w:rPr>
        <w:t>“Cria Cargos Públicos, Vagas, Autoriza o provimento de vagas dos cargos públicos, e dá outras providências.”</w:t>
      </w:r>
    </w:p>
    <w:p w:rsidR="00D44BC9" w:rsidRPr="00D44BC9" w:rsidRDefault="00D44BC9" w:rsidP="00D44BC9">
      <w:pPr>
        <w:ind w:left="4111" w:right="-567"/>
        <w:jc w:val="both"/>
        <w:rPr>
          <w:b/>
          <w:i/>
        </w:rPr>
      </w:pPr>
      <w:r w:rsidRPr="00D44BC9">
        <w:rPr>
          <w:b/>
          <w:i/>
        </w:rPr>
        <w:t>(Projeto de Lei Complementar nº 15 de autoria do Poder Executivo)</w:t>
      </w:r>
    </w:p>
    <w:p w:rsidR="00D44BC9" w:rsidRPr="00D44BC9" w:rsidRDefault="00D44BC9" w:rsidP="00D44BC9">
      <w:pPr>
        <w:pStyle w:val="SemEspaamento"/>
        <w:ind w:right="-568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C9" w:rsidRPr="00D44BC9" w:rsidRDefault="00D44BC9" w:rsidP="00D44BC9">
      <w:pPr>
        <w:pStyle w:val="SemEspaamen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4BC9">
        <w:rPr>
          <w:rFonts w:ascii="Times New Roman" w:hAnsi="Times New Roman" w:cs="Times New Roman"/>
          <w:b/>
          <w:i/>
          <w:sz w:val="24"/>
          <w:szCs w:val="24"/>
        </w:rPr>
        <w:t>A  Câmara Municipal de Araruama aprova e a Exma. Sra. Prefeita sanciona a seguinte Lei:</w:t>
      </w:r>
    </w:p>
    <w:p w:rsidR="00D44BC9" w:rsidRPr="00D44BC9" w:rsidRDefault="00D44BC9" w:rsidP="00D44BC9">
      <w:pPr>
        <w:pStyle w:val="Corpodetexto"/>
        <w:ind w:right="-568" w:firstLine="1002"/>
      </w:pPr>
    </w:p>
    <w:p w:rsidR="00D44BC9" w:rsidRPr="00D44BC9" w:rsidRDefault="00D44BC9" w:rsidP="00D44BC9">
      <w:pPr>
        <w:pStyle w:val="Corpodetexto"/>
        <w:ind w:right="-568" w:firstLine="1002"/>
        <w:rPr>
          <w:b/>
        </w:rPr>
      </w:pPr>
      <w:r w:rsidRPr="00D44BC9">
        <w:t xml:space="preserve">Art. 1º. Ficam criados na área do Poder Executivo os cargos públicos de Agente de Serviços Gerais – Serviços Leves, Artífice Especializado Jardineiro, Instrumentador Cirúrgico, Terapeuta Ocupacional, Maqueiro, Coveiro e Nutricionista, conforme ANEXO I, desta Lei.    </w:t>
      </w:r>
    </w:p>
    <w:p w:rsidR="00D44BC9" w:rsidRPr="00D44BC9" w:rsidRDefault="00D44BC9" w:rsidP="00D44BC9">
      <w:pPr>
        <w:pStyle w:val="Corpodetexto"/>
        <w:ind w:right="-568" w:firstLine="1002"/>
        <w:rPr>
          <w:b/>
        </w:rPr>
      </w:pPr>
    </w:p>
    <w:p w:rsidR="00D44BC9" w:rsidRDefault="00D44BC9" w:rsidP="00D44BC9">
      <w:pPr>
        <w:pStyle w:val="Corpodetexto"/>
        <w:ind w:right="-568" w:firstLine="1002"/>
      </w:pPr>
      <w:r w:rsidRPr="00D44BC9">
        <w:t xml:space="preserve">Art. 2º. O Poder Executivo está autorizado a realizar Concurso Público para provimento de vagas dos cargos públicos criados no </w:t>
      </w:r>
      <w:r w:rsidRPr="00D44BC9">
        <w:rPr>
          <w:i/>
        </w:rPr>
        <w:t xml:space="preserve">caput </w:t>
      </w:r>
      <w:r w:rsidRPr="00D44BC9">
        <w:t>e daqueles já existentes no quadro permanente que se fazem necessários ao funcionamento dos órgãos da Administração Municipal, conforme previsão no ANEXO I, desta Lei.</w:t>
      </w:r>
    </w:p>
    <w:p w:rsidR="00D44BC9" w:rsidRPr="00D44BC9" w:rsidRDefault="00D44BC9" w:rsidP="00D44BC9">
      <w:pPr>
        <w:pStyle w:val="Corpodetexto"/>
        <w:ind w:right="-568" w:firstLine="1002"/>
        <w:rPr>
          <w:b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b/>
        </w:rPr>
        <w:t>Art. 3º.</w:t>
      </w:r>
      <w:r w:rsidRPr="00D44BC9">
        <w:rPr>
          <w:color w:val="000000"/>
        </w:rPr>
        <w:t xml:space="preserve"> A realização do concurso público é de responsabilidade do Poder Executivo Municipal, podendo ser realizado de forma terceirizada, dando-se preferência a instituições públicas de ensino, com experiência na realização de concursos públicos, após prévia licitação pública.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b/>
          <w:color w:val="000000"/>
        </w:rPr>
        <w:t>§ 1º.</w:t>
      </w:r>
      <w:r w:rsidRPr="00D44BC9">
        <w:rPr>
          <w:color w:val="000000"/>
        </w:rPr>
        <w:t xml:space="preserve"> Não pode ser contratada para a realização de concurso Público, em âmbito municipal, pessoa jurídica cujo presidente, diretor, sócio ou gestor responsável tenha sido condenado judicialmente por qualquer ato fraudulento na realização de concurso público.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b/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b/>
          <w:color w:val="000000"/>
        </w:rPr>
        <w:t>§ 2º</w:t>
      </w:r>
      <w:r w:rsidRPr="00D44BC9">
        <w:rPr>
          <w:color w:val="000000"/>
        </w:rPr>
        <w:t>. O prazo de inabilitação é de dez anos, contados do trânsito em julgado da decisão administrativa ou judicial.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b/>
          <w:color w:val="000000"/>
        </w:rPr>
        <w:t>§ 3º.</w:t>
      </w:r>
      <w:r w:rsidRPr="00D44BC9">
        <w:rPr>
          <w:color w:val="000000"/>
        </w:rPr>
        <w:t xml:space="preserve"> Cabe ao Poder Público fiscalizar e acompanhar o procedimento seletivo em todas as suas fases, não excluindo ou reduzindo, tal prerrogativa, a responsabilidade da instituição organizadora.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b/>
          <w:color w:val="000000"/>
        </w:rPr>
        <w:t xml:space="preserve">Art. 4º. </w:t>
      </w:r>
      <w:r w:rsidRPr="00D44BC9">
        <w:rPr>
          <w:color w:val="000000"/>
        </w:rPr>
        <w:t>O procedimento para realização de concurso público é iniciado com a abertura de processo administrativo, com a publicação integral do edital do certame no Órgão de publicações oficiais do Município de Araruama, com a indicação dos cargos e número provável de vagas a serem providas, com antecedência mínima de sessenta dias da realização da primeira prova, observado o seguinte:</w:t>
      </w:r>
    </w:p>
    <w:p w:rsid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color w:val="000000"/>
        </w:rPr>
        <w:t xml:space="preserve">I. em período não superior a vinte e quatro horas da data da publicação do edital no Órgão oficial do Município, deve ser também divulgado o edital do certame na íntegra no sítio eletrônico oficial do Município, da entidade responsável pela realização do certame e da instituição que executará; 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color w:val="000000"/>
        </w:rPr>
        <w:t xml:space="preserve">II. deve constar do edital a informação de que o candidato aprovado em concurso público, dentro do número de vagas previsto no edital, possui direito subjetivo à nomeação, </w:t>
      </w:r>
    </w:p>
    <w:p w:rsidR="00D44BC9" w:rsidRPr="00D44BC9" w:rsidRDefault="00D44BC9" w:rsidP="00D44BC9">
      <w:pPr>
        <w:shd w:val="clear" w:color="auto" w:fill="FFFFFF"/>
        <w:ind w:right="-568"/>
        <w:jc w:val="both"/>
        <w:rPr>
          <w:color w:val="000000"/>
        </w:rPr>
      </w:pPr>
      <w:r w:rsidRPr="00D44BC9">
        <w:rPr>
          <w:color w:val="000000"/>
        </w:rPr>
        <w:t>devendo a Administração Pública homologar o certame e convocar o candidato aprovado, dentro do prazo de validade do edital;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color w:val="000000"/>
        </w:rPr>
        <w:t>III. na hipótese de surgimento de novas vagas ou a abertura de novo concurso para o mesmo cargo, durante o prazo de validade do certame anterior, não se gera automaticamente o direito à nomeação dos candidatos aprovados fora das vagas previstas no edital, ressalvadas as hipóteses de preterição arbitrária e imotivada por parte da administração, caracterizada por comportamento tácito ou expresso do Poder Público capaz de revelar a inequívoca necessidade de nomeação do aprovado durante o período de validade do certame, a ser demonstrada de forma cabal pelo candidato;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color w:val="000000"/>
        </w:rPr>
        <w:t>IV. é proibida qualquer modalidade de provimento que propicie ao servidor investir-se, sem prévia aprovação em concurso público, destinado ao seu provimento, em cargo que não integra a carreira na qual anteriormente investido;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710" w:firstLine="993"/>
        <w:jc w:val="both"/>
        <w:rPr>
          <w:color w:val="000000"/>
        </w:rPr>
      </w:pPr>
      <w:r w:rsidRPr="00D44BC9">
        <w:rPr>
          <w:color w:val="000000"/>
        </w:rPr>
        <w:t>V - não existe direito dos candidatos em concurso público à prova de segunda chamada no teste de aptidão física, salvo contrária disposição editalícia, em razão de circunstâncias pessoais, ainda que de caráter fisiológico ou de força maior;</w:t>
      </w:r>
    </w:p>
    <w:p w:rsidR="00D44BC9" w:rsidRPr="00D44BC9" w:rsidRDefault="00D44BC9" w:rsidP="00D44BC9">
      <w:pPr>
        <w:shd w:val="clear" w:color="auto" w:fill="FFFFFF"/>
        <w:ind w:right="-710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710" w:firstLine="993"/>
        <w:jc w:val="both"/>
        <w:rPr>
          <w:color w:val="000000"/>
        </w:rPr>
      </w:pPr>
      <w:r w:rsidRPr="00D44BC9">
        <w:rPr>
          <w:color w:val="000000"/>
        </w:rPr>
        <w:t>VI -</w:t>
      </w:r>
      <w:r w:rsidRPr="00D44BC9">
        <w:rPr>
          <w:rFonts w:ascii="Arial" w:hAnsi="Arial" w:cs="Arial"/>
          <w:color w:val="000000"/>
        </w:rPr>
        <w:t xml:space="preserve"> </w:t>
      </w:r>
      <w:r w:rsidRPr="00D44BC9">
        <w:rPr>
          <w:color w:val="000000"/>
        </w:rPr>
        <w:t>a inserção de cláusula de barreira, com o intuito de selecionar apenas os candidatos mais bem classificados para prosseguir no certame é válida quando previamente previsto no edital e devidamente motivada;</w:t>
      </w:r>
    </w:p>
    <w:p w:rsidR="00D44BC9" w:rsidRPr="00D44BC9" w:rsidRDefault="00D44BC9" w:rsidP="00D44BC9">
      <w:pPr>
        <w:shd w:val="clear" w:color="auto" w:fill="FFFFFF"/>
        <w:ind w:right="-710" w:firstLine="993"/>
        <w:jc w:val="both"/>
        <w:rPr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color w:val="000000"/>
        </w:rPr>
        <w:t>VII. o prazo de validade do concurso público será de até dois anos, prorrogável uma vez, por igual período, segundo critério da administração previsto previamente no edital, devendo a Administração Pública convocar e homologar o certame no prazo de validade fixado no edital.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b/>
          <w:color w:val="000000"/>
        </w:rPr>
      </w:pP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b/>
          <w:color w:val="000000"/>
        </w:rPr>
      </w:pPr>
      <w:r w:rsidRPr="00D44BC9">
        <w:rPr>
          <w:b/>
          <w:color w:val="000000"/>
        </w:rPr>
        <w:t>§ 1º</w:t>
      </w:r>
      <w:r w:rsidRPr="00D44BC9">
        <w:rPr>
          <w:color w:val="000000"/>
        </w:rPr>
        <w:t>. A alteração de qualquer dispositivo do edital deverá ser publicada no Diário Oficial e divulgada na forma do disposto no inciso I, reabrindo-se o prazo inicialmente estabelecido, exceto quando, inquestionavelmente, a alteração não afetar a preparação do candidato.</w:t>
      </w:r>
      <w:r w:rsidRPr="00D44BC9">
        <w:rPr>
          <w:color w:val="000000"/>
        </w:rPr>
        <w:br/>
      </w:r>
      <w:r w:rsidRPr="00D44BC9">
        <w:rPr>
          <w:b/>
          <w:color w:val="000000"/>
        </w:rPr>
        <w:t xml:space="preserve">              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  <w:r w:rsidRPr="00D44BC9">
        <w:rPr>
          <w:b/>
          <w:color w:val="000000"/>
        </w:rPr>
        <w:t xml:space="preserve">   § 2º.</w:t>
      </w:r>
      <w:r w:rsidRPr="00D44BC9">
        <w:rPr>
          <w:color w:val="000000"/>
        </w:rPr>
        <w:t xml:space="preserve"> Estão impedidos de atuar diretamente no processo seletivo os cônjuges e parentes consanguíneos ou afins até o terceiro grau dos candidatos, inclusive, por adoção.</w:t>
      </w:r>
    </w:p>
    <w:p w:rsidR="00D44BC9" w:rsidRPr="00D44BC9" w:rsidRDefault="00D44BC9" w:rsidP="00D44BC9">
      <w:pPr>
        <w:shd w:val="clear" w:color="auto" w:fill="FFFFFF"/>
        <w:ind w:right="-568" w:firstLine="993"/>
        <w:jc w:val="both"/>
        <w:rPr>
          <w:color w:val="000000"/>
        </w:rPr>
      </w:pPr>
    </w:p>
    <w:p w:rsidR="00D44BC9" w:rsidRDefault="00D44BC9" w:rsidP="00D44BC9">
      <w:pPr>
        <w:pStyle w:val="Corpodetexto"/>
        <w:ind w:right="-568" w:firstLine="993"/>
        <w:rPr>
          <w:color w:val="000000"/>
        </w:rPr>
      </w:pPr>
    </w:p>
    <w:p w:rsidR="00D44BC9" w:rsidRDefault="00D44BC9" w:rsidP="00D44BC9">
      <w:pPr>
        <w:pStyle w:val="Corpodetexto"/>
        <w:ind w:right="-568" w:firstLine="993"/>
        <w:rPr>
          <w:color w:val="000000"/>
        </w:rPr>
      </w:pPr>
    </w:p>
    <w:p w:rsidR="00D44BC9" w:rsidRDefault="00D44BC9" w:rsidP="00D44BC9">
      <w:pPr>
        <w:pStyle w:val="Corpodetexto"/>
        <w:ind w:right="-568" w:firstLine="993"/>
        <w:rPr>
          <w:color w:val="000000"/>
        </w:rPr>
      </w:pPr>
    </w:p>
    <w:p w:rsidR="00D44BC9" w:rsidRPr="00D44BC9" w:rsidRDefault="00D44BC9" w:rsidP="00D44BC9">
      <w:pPr>
        <w:pStyle w:val="Corpodetexto"/>
        <w:ind w:right="-568" w:firstLine="993"/>
        <w:jc w:val="both"/>
        <w:rPr>
          <w:b/>
        </w:rPr>
      </w:pPr>
      <w:r w:rsidRPr="00D44BC9">
        <w:rPr>
          <w:color w:val="000000"/>
        </w:rPr>
        <w:t xml:space="preserve">Art. 5º. </w:t>
      </w:r>
      <w:r w:rsidRPr="00D44BC9">
        <w:t>A contratação deverá ser precedida e instruída com plano de trabalho aprovado pela autoridade superior e conterá a justificativa da necessidade dos serviços, relação entre a demanda prevista e a quantidade do serviço a ser contratado e a economicidade.</w:t>
      </w:r>
    </w:p>
    <w:p w:rsidR="00D44BC9" w:rsidRPr="00D44BC9" w:rsidRDefault="00D44BC9" w:rsidP="00D44BC9">
      <w:pPr>
        <w:pStyle w:val="Corpodetexto"/>
        <w:ind w:right="-568" w:firstLine="993"/>
        <w:jc w:val="both"/>
        <w:rPr>
          <w:b/>
        </w:rPr>
      </w:pPr>
    </w:p>
    <w:p w:rsidR="00D44BC9" w:rsidRPr="00D44BC9" w:rsidRDefault="00D44BC9" w:rsidP="00D44BC9">
      <w:pPr>
        <w:pStyle w:val="Corpodetexto"/>
        <w:ind w:right="-568" w:firstLine="993"/>
        <w:jc w:val="both"/>
        <w:rPr>
          <w:b/>
        </w:rPr>
      </w:pPr>
      <w:r w:rsidRPr="00D44BC9">
        <w:t>Art. 6º. As despesas decorrentes da aplicação desta lei correrão à conta dos recursos consignados nas rubricas Vencimentos e Vantagens Fixas e Obrigações Patronais, consignados na Lei Orçamentária</w:t>
      </w:r>
      <w:r w:rsidRPr="00D44BC9">
        <w:rPr>
          <w:spacing w:val="1"/>
        </w:rPr>
        <w:t xml:space="preserve"> </w:t>
      </w:r>
      <w:r w:rsidRPr="00D44BC9">
        <w:t>Anual.</w:t>
      </w:r>
    </w:p>
    <w:p w:rsidR="00D44BC9" w:rsidRPr="00D44BC9" w:rsidRDefault="00D44BC9" w:rsidP="00D44BC9">
      <w:pPr>
        <w:pStyle w:val="Corpodetexto"/>
        <w:ind w:right="-568" w:firstLine="861"/>
        <w:jc w:val="both"/>
      </w:pPr>
    </w:p>
    <w:p w:rsidR="00D44BC9" w:rsidRPr="00D44BC9" w:rsidRDefault="00D44BC9" w:rsidP="00D44BC9">
      <w:pPr>
        <w:pStyle w:val="Corpodetexto"/>
        <w:ind w:right="-568" w:firstLine="993"/>
        <w:jc w:val="both"/>
        <w:rPr>
          <w:b/>
        </w:rPr>
      </w:pPr>
      <w:r w:rsidRPr="00D44BC9">
        <w:t>Art.7º. Esta Lei Complementar entrará em vigor na data de sua publicação, produzindo seus efeitos a partir do exercício de 2019.</w:t>
      </w:r>
    </w:p>
    <w:p w:rsidR="00D44BC9" w:rsidRPr="00D44BC9" w:rsidRDefault="00D44BC9" w:rsidP="00D44BC9">
      <w:pPr>
        <w:pStyle w:val="Corpodetexto"/>
        <w:tabs>
          <w:tab w:val="left" w:pos="0"/>
        </w:tabs>
        <w:ind w:right="-568"/>
        <w:rPr>
          <w:b/>
        </w:rPr>
      </w:pPr>
    </w:p>
    <w:p w:rsidR="00D44BC9" w:rsidRPr="00D44BC9" w:rsidRDefault="00D44BC9" w:rsidP="00D44BC9">
      <w:pPr>
        <w:pStyle w:val="Corpodetexto"/>
        <w:tabs>
          <w:tab w:val="left" w:pos="0"/>
        </w:tabs>
        <w:ind w:right="-568"/>
        <w:jc w:val="center"/>
        <w:rPr>
          <w:b/>
        </w:rPr>
      </w:pPr>
      <w:r w:rsidRPr="00D44BC9">
        <w:t>Gabinete da Prefeita, 28 de dezembro de 2018.</w:t>
      </w:r>
    </w:p>
    <w:p w:rsidR="00D44BC9" w:rsidRDefault="00D44BC9" w:rsidP="00D44BC9">
      <w:pPr>
        <w:pStyle w:val="Corpodetexto"/>
        <w:tabs>
          <w:tab w:val="left" w:pos="0"/>
        </w:tabs>
        <w:ind w:right="-568"/>
        <w:jc w:val="center"/>
        <w:rPr>
          <w:b/>
        </w:rPr>
      </w:pPr>
    </w:p>
    <w:p w:rsidR="00D44BC9" w:rsidRPr="00D44BC9" w:rsidRDefault="00D44BC9" w:rsidP="00D44BC9">
      <w:pPr>
        <w:pStyle w:val="Corpodetexto"/>
        <w:tabs>
          <w:tab w:val="left" w:pos="0"/>
        </w:tabs>
        <w:ind w:right="-568"/>
        <w:jc w:val="center"/>
        <w:rPr>
          <w:b/>
        </w:rPr>
      </w:pPr>
    </w:p>
    <w:p w:rsidR="00D44BC9" w:rsidRPr="00D44BC9" w:rsidRDefault="00D44BC9" w:rsidP="00D44BC9">
      <w:pPr>
        <w:pStyle w:val="Corpodetexto"/>
        <w:tabs>
          <w:tab w:val="left" w:pos="0"/>
        </w:tabs>
        <w:ind w:right="-568"/>
        <w:jc w:val="center"/>
        <w:rPr>
          <w:b/>
        </w:rPr>
      </w:pPr>
    </w:p>
    <w:p w:rsidR="00D44BC9" w:rsidRPr="00D44BC9" w:rsidRDefault="00D44BC9" w:rsidP="00D44BC9">
      <w:pPr>
        <w:pStyle w:val="Corpodetexto"/>
        <w:tabs>
          <w:tab w:val="left" w:pos="0"/>
        </w:tabs>
        <w:ind w:right="-568"/>
        <w:jc w:val="center"/>
        <w:rPr>
          <w:b/>
          <w:i/>
        </w:rPr>
      </w:pPr>
      <w:r w:rsidRPr="00D44BC9">
        <w:rPr>
          <w:b/>
          <w:i/>
        </w:rPr>
        <w:t>Lívia Bello</w:t>
      </w:r>
    </w:p>
    <w:p w:rsidR="00D44BC9" w:rsidRPr="00D44BC9" w:rsidRDefault="00D44BC9" w:rsidP="00D44BC9">
      <w:pPr>
        <w:pStyle w:val="Corpodetexto"/>
        <w:tabs>
          <w:tab w:val="left" w:pos="0"/>
        </w:tabs>
        <w:ind w:right="-568"/>
        <w:jc w:val="center"/>
        <w:rPr>
          <w:b/>
        </w:rPr>
      </w:pPr>
      <w:r w:rsidRPr="00D44BC9">
        <w:rPr>
          <w:b/>
        </w:rPr>
        <w:t>Prefeita</w:t>
      </w:r>
    </w:p>
    <w:p w:rsidR="00B14052" w:rsidRPr="00D44BC9" w:rsidRDefault="00B14052" w:rsidP="00C8526F"/>
    <w:sectPr w:rsidR="00B14052" w:rsidRPr="00D44BC9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AD" w:rsidRDefault="006A43AD" w:rsidP="00A87B49">
      <w:r>
        <w:separator/>
      </w:r>
    </w:p>
  </w:endnote>
  <w:endnote w:type="continuationSeparator" w:id="0">
    <w:p w:rsidR="006A43AD" w:rsidRDefault="006A43AD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AD" w:rsidRDefault="006A43AD" w:rsidP="00A87B49">
      <w:r>
        <w:separator/>
      </w:r>
    </w:p>
  </w:footnote>
  <w:footnote w:type="continuationSeparator" w:id="0">
    <w:p w:rsidR="006A43AD" w:rsidRDefault="006A43AD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086C3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86C38"/>
    <w:rsid w:val="0009354A"/>
    <w:rsid w:val="000A19A3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1D4272"/>
    <w:rsid w:val="002B15AA"/>
    <w:rsid w:val="002D5632"/>
    <w:rsid w:val="003A225D"/>
    <w:rsid w:val="003D322C"/>
    <w:rsid w:val="003E698C"/>
    <w:rsid w:val="00467CBA"/>
    <w:rsid w:val="00472648"/>
    <w:rsid w:val="0047607E"/>
    <w:rsid w:val="004F52E0"/>
    <w:rsid w:val="005D52E1"/>
    <w:rsid w:val="00667EA2"/>
    <w:rsid w:val="0069758C"/>
    <w:rsid w:val="006A43AD"/>
    <w:rsid w:val="006C195D"/>
    <w:rsid w:val="006D7814"/>
    <w:rsid w:val="00746099"/>
    <w:rsid w:val="00854C6C"/>
    <w:rsid w:val="008976DC"/>
    <w:rsid w:val="00982218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CE2AFD"/>
    <w:rsid w:val="00CE2C5A"/>
    <w:rsid w:val="00D33E65"/>
    <w:rsid w:val="00D44BC9"/>
    <w:rsid w:val="00DB1ABD"/>
    <w:rsid w:val="00DD0EB5"/>
    <w:rsid w:val="00E54EBE"/>
    <w:rsid w:val="00E54F97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28CC0-754E-446F-8AB7-64BF6B2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4B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4B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3</cp:revision>
  <cp:lastPrinted>2018-12-28T13:25:00Z</cp:lastPrinted>
  <dcterms:created xsi:type="dcterms:W3CDTF">2019-01-11T11:23:00Z</dcterms:created>
  <dcterms:modified xsi:type="dcterms:W3CDTF">2019-01-11T11:23:00Z</dcterms:modified>
</cp:coreProperties>
</file>